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DD3CA">
      <w:pPr>
        <w:spacing w:after="0" w:line="360" w:lineRule="auto"/>
        <w:jc w:val="center"/>
        <w:rPr>
          <w:b/>
          <w:sz w:val="23"/>
          <w:szCs w:val="23"/>
          <w:u w:val="single"/>
        </w:rPr>
      </w:pPr>
      <w:r>
        <w:rPr>
          <w:b/>
          <w:sz w:val="23"/>
          <w:szCs w:val="23"/>
          <w:u w:val="single"/>
        </w:rPr>
        <w:t>APÊNDICE ANEXO I</w:t>
      </w:r>
    </w:p>
    <w:p w14:paraId="34327CFC">
      <w:pPr>
        <w:spacing w:after="0" w:line="360" w:lineRule="auto"/>
        <w:jc w:val="center"/>
        <w:rPr>
          <w:b/>
          <w:sz w:val="23"/>
          <w:szCs w:val="23"/>
          <w:u w:val="single"/>
        </w:rPr>
      </w:pPr>
      <w:bookmarkStart w:id="1" w:name="_GoBack"/>
      <w:bookmarkEnd w:id="1"/>
      <w:r>
        <w:rPr>
          <w:b/>
          <w:sz w:val="23"/>
          <w:szCs w:val="23"/>
          <w:u w:val="single"/>
        </w:rPr>
        <w:t>ESTUDOS PRELIMINARES</w:t>
      </w:r>
    </w:p>
    <w:p w14:paraId="0FF19BD4">
      <w:pPr>
        <w:spacing w:after="0" w:line="360" w:lineRule="auto"/>
        <w:jc w:val="center"/>
        <w:rPr>
          <w:b/>
          <w:sz w:val="23"/>
          <w:szCs w:val="23"/>
        </w:rPr>
      </w:pPr>
    </w:p>
    <w:p w14:paraId="5DDF2DD5">
      <w:pPr>
        <w:pBdr>
          <w:top w:val="none" w:color="auto" w:sz="0" w:space="0"/>
          <w:left w:val="none" w:color="auto" w:sz="0" w:space="0"/>
          <w:bottom w:val="none" w:color="auto" w:sz="0" w:space="0"/>
          <w:right w:val="none" w:color="auto" w:sz="0" w:space="0"/>
          <w:between w:val="none" w:color="auto" w:sz="0" w:space="0"/>
        </w:pBdr>
        <w:spacing w:after="0" w:line="360" w:lineRule="auto"/>
        <w:ind w:left="-398" w:firstLine="1140"/>
        <w:jc w:val="both"/>
        <w:rPr>
          <w:color w:val="000000"/>
          <w:sz w:val="23"/>
          <w:szCs w:val="23"/>
        </w:rPr>
      </w:pPr>
      <w:r>
        <w:rPr>
          <w:color w:val="000000"/>
          <w:sz w:val="23"/>
          <w:szCs w:val="23"/>
        </w:rPr>
        <w:t>O presente documento visa analisar a viabilidade da presente contratação, bem como compilar as demandas e os elementos essenciais que servirão para compor o Termo de Referência ou projeto Básico, de forma a melhor atender às necessidades da Administração.</w:t>
      </w:r>
    </w:p>
    <w:p w14:paraId="55EE27BC">
      <w:pPr>
        <w:spacing w:after="0" w:line="360" w:lineRule="auto"/>
        <w:ind w:firstLine="708"/>
        <w:jc w:val="both"/>
        <w:rPr>
          <w:sz w:val="23"/>
          <w:szCs w:val="23"/>
        </w:rPr>
      </w:pPr>
      <w:r>
        <w:rPr>
          <w:sz w:val="23"/>
          <w:szCs w:val="23"/>
        </w:rPr>
        <w:t xml:space="preserve"> </w:t>
      </w:r>
    </w:p>
    <w:tbl>
      <w:tblPr>
        <w:tblStyle w:val="16"/>
        <w:tblW w:w="9644" w:type="dxa"/>
        <w:tblInd w:w="-606"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3060"/>
        <w:gridCol w:w="6584"/>
      </w:tblGrid>
      <w:tr w14:paraId="72D026F4">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9644" w:type="dxa"/>
            <w:gridSpan w:val="2"/>
            <w:tcBorders>
              <w:top w:val="single" w:color="00000A" w:sz="4" w:space="0"/>
              <w:left w:val="single" w:color="00000A" w:sz="4" w:space="0"/>
              <w:bottom w:val="single" w:color="00000A" w:sz="4" w:space="0"/>
              <w:right w:val="single" w:color="00000A" w:sz="4" w:space="0"/>
            </w:tcBorders>
            <w:shd w:val="clear" w:color="auto" w:fill="1F3863"/>
          </w:tcPr>
          <w:p w14:paraId="2C772B98">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DADOS DO PROCESSO:</w:t>
            </w:r>
          </w:p>
        </w:tc>
      </w:tr>
      <w:tr w14:paraId="75CD1FD6">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3060" w:type="dxa"/>
            <w:tcBorders>
              <w:top w:val="single" w:color="00000A" w:sz="4" w:space="0"/>
              <w:left w:val="single" w:color="00000A" w:sz="4" w:space="0"/>
              <w:bottom w:val="single" w:color="00000A" w:sz="4" w:space="0"/>
              <w:right w:val="single" w:color="00000A" w:sz="4" w:space="0"/>
            </w:tcBorders>
            <w:shd w:val="clear" w:color="auto" w:fill="D7D7D7"/>
          </w:tcPr>
          <w:p w14:paraId="36735C72">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both"/>
              <w:rPr>
                <w:b/>
                <w:color w:val="000000"/>
                <w:sz w:val="23"/>
                <w:szCs w:val="23"/>
              </w:rPr>
            </w:pPr>
            <w:r>
              <w:rPr>
                <w:b/>
                <w:color w:val="000000"/>
                <w:sz w:val="23"/>
                <w:szCs w:val="23"/>
              </w:rPr>
              <w:t>Nº do Processo:</w:t>
            </w: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02AE5A5C">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both"/>
              <w:rPr>
                <w:color w:val="000000"/>
                <w:sz w:val="23"/>
                <w:szCs w:val="23"/>
              </w:rPr>
            </w:pPr>
            <w:r>
              <w:rPr>
                <w:sz w:val="23"/>
                <w:szCs w:val="23"/>
              </w:rPr>
              <w:t>38466</w:t>
            </w:r>
            <w:r>
              <w:rPr>
                <w:color w:val="000000"/>
                <w:sz w:val="23"/>
                <w:szCs w:val="23"/>
              </w:rPr>
              <w:t>/202</w:t>
            </w:r>
            <w:r>
              <w:rPr>
                <w:sz w:val="23"/>
                <w:szCs w:val="23"/>
              </w:rPr>
              <w:t>5</w:t>
            </w:r>
          </w:p>
        </w:tc>
      </w:tr>
      <w:tr w14:paraId="4BEC55A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3060" w:type="dxa"/>
            <w:tcBorders>
              <w:top w:val="single" w:color="00000A" w:sz="4" w:space="0"/>
              <w:left w:val="single" w:color="00000A" w:sz="4" w:space="0"/>
              <w:bottom w:val="single" w:color="00000A" w:sz="4" w:space="0"/>
              <w:right w:val="single" w:color="00000A" w:sz="4" w:space="0"/>
            </w:tcBorders>
            <w:shd w:val="clear" w:color="auto" w:fill="D7D7D7"/>
          </w:tcPr>
          <w:p w14:paraId="594B3939">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73"/>
              <w:jc w:val="both"/>
              <w:rPr>
                <w:b/>
                <w:color w:val="000000"/>
                <w:sz w:val="23"/>
                <w:szCs w:val="23"/>
              </w:rPr>
            </w:pPr>
            <w:r>
              <w:rPr>
                <w:b/>
                <w:color w:val="000000"/>
                <w:sz w:val="23"/>
                <w:szCs w:val="23"/>
              </w:rPr>
              <w:t>Estudo Preliminar:</w:t>
            </w: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35DF2071">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both"/>
              <w:rPr>
                <w:color w:val="000000"/>
                <w:sz w:val="23"/>
                <w:szCs w:val="23"/>
              </w:rPr>
            </w:pPr>
            <w:r>
              <w:rPr>
                <w:color w:val="000000"/>
                <w:sz w:val="23"/>
                <w:szCs w:val="23"/>
              </w:rPr>
              <w:t>068/20</w:t>
            </w:r>
            <w:r>
              <w:rPr>
                <w:sz w:val="23"/>
                <w:szCs w:val="23"/>
              </w:rPr>
              <w:t>25</w:t>
            </w:r>
          </w:p>
        </w:tc>
      </w:tr>
      <w:tr w14:paraId="580CE3F1">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3060" w:type="dxa"/>
            <w:tcBorders>
              <w:top w:val="single" w:color="00000A" w:sz="4" w:space="0"/>
              <w:left w:val="single" w:color="00000A" w:sz="4" w:space="0"/>
              <w:bottom w:val="single" w:color="00000A" w:sz="4" w:space="0"/>
              <w:right w:val="single" w:color="00000A" w:sz="4" w:space="0"/>
            </w:tcBorders>
            <w:shd w:val="clear" w:color="auto" w:fill="D7D7D7"/>
          </w:tcPr>
          <w:p w14:paraId="449E05BD">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73"/>
              <w:jc w:val="both"/>
              <w:rPr>
                <w:b/>
                <w:color w:val="000000"/>
                <w:sz w:val="23"/>
                <w:szCs w:val="23"/>
              </w:rPr>
            </w:pPr>
            <w:r>
              <w:rPr>
                <w:b/>
                <w:color w:val="000000"/>
                <w:sz w:val="23"/>
                <w:szCs w:val="23"/>
              </w:rPr>
              <w:t>Secretaria:</w:t>
            </w: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7D4EEDFC">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both"/>
              <w:rPr>
                <w:color w:val="000000"/>
                <w:sz w:val="23"/>
                <w:szCs w:val="23"/>
              </w:rPr>
            </w:pPr>
            <w:r>
              <w:rPr>
                <w:color w:val="000000"/>
                <w:sz w:val="23"/>
                <w:szCs w:val="23"/>
              </w:rPr>
              <w:t>Secretarial de Saúde</w:t>
            </w:r>
          </w:p>
        </w:tc>
      </w:tr>
      <w:tr w14:paraId="380808B5">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3060" w:type="dxa"/>
            <w:tcBorders>
              <w:top w:val="single" w:color="00000A" w:sz="4" w:space="0"/>
              <w:left w:val="single" w:color="00000A" w:sz="4" w:space="0"/>
              <w:bottom w:val="single" w:color="00000A" w:sz="4" w:space="0"/>
              <w:right w:val="single" w:color="00000A" w:sz="4" w:space="0"/>
            </w:tcBorders>
            <w:shd w:val="clear" w:color="auto" w:fill="D7D7D7"/>
            <w:vAlign w:val="center"/>
          </w:tcPr>
          <w:p w14:paraId="01917716">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73"/>
              <w:jc w:val="both"/>
              <w:rPr>
                <w:b/>
                <w:color w:val="000000"/>
                <w:sz w:val="23"/>
                <w:szCs w:val="23"/>
              </w:rPr>
            </w:pPr>
            <w:r>
              <w:rPr>
                <w:b/>
                <w:color w:val="000000"/>
                <w:sz w:val="23"/>
                <w:szCs w:val="23"/>
              </w:rPr>
              <w:t>Setor / Órgão:</w:t>
            </w: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44923500">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both"/>
              <w:rPr>
                <w:color w:val="000000"/>
                <w:sz w:val="23"/>
                <w:szCs w:val="23"/>
              </w:rPr>
            </w:pPr>
            <w:r>
              <w:rPr>
                <w:color w:val="000000"/>
                <w:sz w:val="23"/>
                <w:szCs w:val="23"/>
              </w:rPr>
              <w:t>Gestão de Processos, Contratos e Convênios</w:t>
            </w:r>
          </w:p>
        </w:tc>
      </w:tr>
      <w:tr w14:paraId="40743200">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3060" w:type="dxa"/>
            <w:tcBorders>
              <w:top w:val="single" w:color="00000A" w:sz="4" w:space="0"/>
              <w:left w:val="single" w:color="00000A" w:sz="4" w:space="0"/>
              <w:bottom w:val="single" w:color="00000A" w:sz="4" w:space="0"/>
              <w:right w:val="single" w:color="00000A" w:sz="4" w:space="0"/>
            </w:tcBorders>
            <w:shd w:val="clear" w:color="auto" w:fill="D7D7D7"/>
            <w:vAlign w:val="center"/>
          </w:tcPr>
          <w:p w14:paraId="2742E68A">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73"/>
              <w:jc w:val="both"/>
              <w:rPr>
                <w:b/>
                <w:color w:val="000000"/>
                <w:sz w:val="23"/>
                <w:szCs w:val="23"/>
              </w:rPr>
            </w:pPr>
            <w:r>
              <w:rPr>
                <w:b/>
                <w:color w:val="000000"/>
                <w:sz w:val="23"/>
                <w:szCs w:val="23"/>
              </w:rPr>
              <w:t>Objeto:</w:t>
            </w: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4C930D5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right="26"/>
              <w:jc w:val="both"/>
              <w:rPr>
                <w:color w:val="000000"/>
              </w:rPr>
            </w:pPr>
            <w:r>
              <w:rPr>
                <w:color w:val="000000"/>
                <w:sz w:val="23"/>
                <w:szCs w:val="23"/>
              </w:rPr>
              <w:t>Os estudos preliminares aqui resumidos tem por objeto o subsídio básico para a elaboração do Termo de Referência (TR) para o</w:t>
            </w:r>
            <w:r>
              <w:rPr>
                <w:b/>
                <w:color w:val="000000"/>
                <w:sz w:val="23"/>
                <w:szCs w:val="23"/>
              </w:rPr>
              <w:t xml:space="preserve"> TRANSPORTE DE PASSAGEIROS (PACIENTES E ACOMPANHANTES),</w:t>
            </w:r>
            <w:r>
              <w:rPr>
                <w:color w:val="000000"/>
                <w:sz w:val="23"/>
                <w:szCs w:val="23"/>
              </w:rPr>
              <w:t xml:space="preserve"> considerando como itinerário o trajeto que vai do município de embarque qual seja, Nova Friburgo ao Município/Local de desembarque pré-determinado pela Central de Regulação/TFD (Tratamento Fora de Domicilio)</w:t>
            </w:r>
            <w:r>
              <w:rPr>
                <w:sz w:val="23"/>
                <w:szCs w:val="23"/>
              </w:rPr>
              <w:t xml:space="preserve"> e</w:t>
            </w:r>
            <w:r>
              <w:rPr>
                <w:color w:val="000000"/>
                <w:sz w:val="23"/>
                <w:szCs w:val="23"/>
              </w:rPr>
              <w:t xml:space="preserve"> Coordenação de Saúde Auditiva, conforme condições, especificações, exigências, estabelecidas nos autos, bem como nas demais cláusulas deste instrumento.</w:t>
            </w:r>
          </w:p>
        </w:tc>
      </w:tr>
      <w:tr w14:paraId="6B9FAE8C">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3060" w:type="dxa"/>
            <w:vMerge w:val="restart"/>
            <w:tcBorders>
              <w:top w:val="single" w:color="00000A" w:sz="4" w:space="0"/>
              <w:left w:val="single" w:color="00000A" w:sz="4" w:space="0"/>
              <w:bottom w:val="single" w:color="00000A" w:sz="4" w:space="0"/>
              <w:right w:val="single" w:color="00000A" w:sz="4" w:space="0"/>
            </w:tcBorders>
            <w:shd w:val="clear" w:color="auto" w:fill="D7D7D7"/>
            <w:vAlign w:val="center"/>
          </w:tcPr>
          <w:p w14:paraId="44AF10F4">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73"/>
              <w:jc w:val="both"/>
              <w:rPr>
                <w:b/>
                <w:color w:val="000000"/>
                <w:sz w:val="23"/>
                <w:szCs w:val="23"/>
              </w:rPr>
            </w:pPr>
            <w:r>
              <w:rPr>
                <w:b/>
                <w:color w:val="000000"/>
                <w:sz w:val="23"/>
                <w:szCs w:val="23"/>
              </w:rPr>
              <w:t>Equipe de Planejamento:</w:t>
            </w: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0B2A2A26">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both"/>
              <w:rPr>
                <w:color w:val="000000"/>
              </w:rPr>
            </w:pPr>
            <w:r>
              <w:rPr>
                <w:b/>
                <w:color w:val="000000"/>
                <w:sz w:val="23"/>
                <w:szCs w:val="23"/>
              </w:rPr>
              <w:t>Gestor</w:t>
            </w:r>
            <w:r>
              <w:rPr>
                <w:color w:val="000000"/>
                <w:sz w:val="23"/>
                <w:szCs w:val="23"/>
              </w:rPr>
              <w:t xml:space="preserve">: </w:t>
            </w:r>
            <w:r>
              <w:rPr>
                <w:sz w:val="23"/>
                <w:szCs w:val="23"/>
              </w:rPr>
              <w:t>Higor de Barros Pinto</w:t>
            </w:r>
            <w:r>
              <w:rPr>
                <w:color w:val="000000"/>
                <w:sz w:val="23"/>
                <w:szCs w:val="23"/>
              </w:rPr>
              <w:t>- Matrícula 063.34</w:t>
            </w:r>
            <w:r>
              <w:rPr>
                <w:sz w:val="23"/>
                <w:szCs w:val="23"/>
              </w:rPr>
              <w:t>4</w:t>
            </w:r>
          </w:p>
        </w:tc>
      </w:tr>
      <w:tr w14:paraId="7831DD29">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660" w:hRule="atLeast"/>
        </w:trPr>
        <w:tc>
          <w:tcPr>
            <w:tcW w:w="3060" w:type="dxa"/>
            <w:vMerge w:val="continue"/>
            <w:tcBorders>
              <w:top w:val="single" w:color="00000A" w:sz="4" w:space="0"/>
              <w:left w:val="single" w:color="00000A" w:sz="4" w:space="0"/>
              <w:bottom w:val="single" w:color="00000A" w:sz="4" w:space="0"/>
              <w:right w:val="single" w:color="00000A" w:sz="4" w:space="0"/>
            </w:tcBorders>
            <w:shd w:val="clear" w:color="auto" w:fill="D7D7D7"/>
            <w:vAlign w:val="center"/>
          </w:tcPr>
          <w:p w14:paraId="67F81A4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color w:val="000000"/>
              </w:rPr>
            </w:pP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34152BE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right="26"/>
              <w:jc w:val="both"/>
              <w:rPr>
                <w:color w:val="000000"/>
              </w:rPr>
            </w:pPr>
            <w:r>
              <w:rPr>
                <w:b/>
                <w:color w:val="000000"/>
                <w:sz w:val="23"/>
                <w:szCs w:val="23"/>
              </w:rPr>
              <w:t xml:space="preserve">Apoio Técnico: </w:t>
            </w:r>
            <w:r>
              <w:rPr>
                <w:color w:val="000000"/>
                <w:sz w:val="23"/>
                <w:szCs w:val="23"/>
              </w:rPr>
              <w:t xml:space="preserve">Frederico de Castro Alves- Mat. 382.291 </w:t>
            </w:r>
          </w:p>
          <w:p w14:paraId="2B41038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right="26"/>
              <w:jc w:val="both"/>
              <w:rPr>
                <w:color w:val="000000"/>
              </w:rPr>
            </w:pPr>
            <w:r>
              <w:rPr>
                <w:color w:val="000000"/>
                <w:sz w:val="23"/>
                <w:szCs w:val="23"/>
              </w:rPr>
              <w:t xml:space="preserve">                           Alícia Siqueira Emerich- Mat. 063.219 </w:t>
            </w:r>
          </w:p>
        </w:tc>
      </w:tr>
      <w:tr w14:paraId="57FEE6C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406" w:hRule="atLeast"/>
        </w:trPr>
        <w:tc>
          <w:tcPr>
            <w:tcW w:w="3060" w:type="dxa"/>
            <w:vMerge w:val="continue"/>
            <w:tcBorders>
              <w:top w:val="single" w:color="00000A" w:sz="4" w:space="0"/>
              <w:left w:val="single" w:color="00000A" w:sz="4" w:space="0"/>
              <w:bottom w:val="single" w:color="00000A" w:sz="4" w:space="0"/>
              <w:right w:val="single" w:color="00000A" w:sz="4" w:space="0"/>
            </w:tcBorders>
            <w:shd w:val="clear" w:color="auto" w:fill="D7D7D7"/>
            <w:vAlign w:val="center"/>
          </w:tcPr>
          <w:p w14:paraId="2BFE5CC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color w:val="000000"/>
              </w:rPr>
            </w:pPr>
          </w:p>
        </w:tc>
        <w:tc>
          <w:tcPr>
            <w:tcW w:w="6584" w:type="dxa"/>
            <w:tcBorders>
              <w:top w:val="single" w:color="00000A" w:sz="4" w:space="0"/>
              <w:left w:val="single" w:color="00000A" w:sz="4" w:space="0"/>
              <w:bottom w:val="single" w:color="00000A" w:sz="4" w:space="0"/>
              <w:right w:val="single" w:color="00000A" w:sz="4" w:space="0"/>
            </w:tcBorders>
            <w:shd w:val="clear" w:color="auto" w:fill="auto"/>
          </w:tcPr>
          <w:p w14:paraId="583A84A1">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both"/>
              <w:rPr>
                <w:color w:val="000000"/>
                <w:sz w:val="23"/>
                <w:szCs w:val="23"/>
              </w:rPr>
            </w:pPr>
            <w:r>
              <w:rPr>
                <w:b/>
                <w:color w:val="000000"/>
                <w:sz w:val="23"/>
                <w:szCs w:val="23"/>
              </w:rPr>
              <w:t>De acordo</w:t>
            </w:r>
            <w:r>
              <w:rPr>
                <w:color w:val="000000"/>
                <w:sz w:val="23"/>
                <w:szCs w:val="23"/>
              </w:rPr>
              <w:t xml:space="preserve">: </w:t>
            </w:r>
            <w:r>
              <w:rPr>
                <w:color w:val="222222"/>
                <w:sz w:val="23"/>
                <w:szCs w:val="23"/>
              </w:rPr>
              <w:t>Gabriel Costa Wenderroschy</w:t>
            </w:r>
            <w:r>
              <w:rPr>
                <w:color w:val="000000"/>
                <w:sz w:val="23"/>
                <w:szCs w:val="23"/>
              </w:rPr>
              <w:t xml:space="preserve"> – Matrícula 063.454</w:t>
            </w:r>
          </w:p>
        </w:tc>
      </w:tr>
    </w:tbl>
    <w:p w14:paraId="68E78B3F">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17"/>
        <w:tblW w:w="9650"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9650"/>
      </w:tblGrid>
      <w:tr w14:paraId="4A79DEC3">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9650"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15D5E9DF">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FFFFFF"/>
                <w:sz w:val="23"/>
                <w:szCs w:val="23"/>
              </w:rPr>
            </w:pPr>
            <w:r>
              <w:rPr>
                <w:b/>
                <w:color w:val="FFFFFF"/>
                <w:sz w:val="23"/>
                <w:szCs w:val="23"/>
              </w:rPr>
              <w:t>DEMONSTRAÇÃO DA PREVISÃO DA CONTRATAÇÃO NO PLANO ANUAL DE CONTRATAÇÕES:</w:t>
            </w:r>
          </w:p>
        </w:tc>
      </w:tr>
      <w:tr w14:paraId="3E366D10">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9650" w:type="dxa"/>
            <w:tcBorders>
              <w:top w:val="single" w:color="00000A" w:sz="4" w:space="0"/>
              <w:left w:val="single" w:color="00000A" w:sz="4" w:space="0"/>
              <w:bottom w:val="single" w:color="00000A" w:sz="4" w:space="0"/>
              <w:right w:val="single" w:color="00000A" w:sz="4" w:space="0"/>
            </w:tcBorders>
            <w:shd w:val="clear" w:color="auto" w:fill="auto"/>
          </w:tcPr>
          <w:p w14:paraId="4063B502">
            <w:pPr>
              <w:widowControl w:val="0"/>
              <w:pBdr>
                <w:top w:val="none" w:color="auto" w:sz="0" w:space="0"/>
                <w:left w:val="none" w:color="auto" w:sz="0" w:space="0"/>
                <w:bottom w:val="none" w:color="auto" w:sz="0" w:space="0"/>
                <w:right w:val="none" w:color="auto" w:sz="0" w:space="0"/>
                <w:between w:val="none" w:color="auto" w:sz="0" w:space="0"/>
              </w:pBdr>
              <w:spacing w:after="0" w:line="240" w:lineRule="auto"/>
              <w:ind w:right="119"/>
              <w:jc w:val="both"/>
              <w:rPr>
                <w:color w:val="000000"/>
                <w:sz w:val="23"/>
                <w:szCs w:val="23"/>
              </w:rPr>
            </w:pPr>
          </w:p>
          <w:p w14:paraId="4C23E338">
            <w:pPr>
              <w:widowControl w:val="0"/>
              <w:ind w:right="113" w:firstLine="397"/>
              <w:jc w:val="both"/>
              <w:rPr>
                <w:sz w:val="23"/>
                <w:szCs w:val="23"/>
              </w:rPr>
            </w:pPr>
            <w:r>
              <w:rPr>
                <w:color w:val="000000"/>
                <w:sz w:val="23"/>
                <w:szCs w:val="23"/>
              </w:rPr>
              <w:t>O objeto da contratação não está previsto no Plano de Contratações Anual, pois este ainda não foi implementad</w:t>
            </w:r>
            <w:r>
              <w:rPr>
                <w:sz w:val="23"/>
                <w:szCs w:val="23"/>
              </w:rPr>
              <w:t>o.</w:t>
            </w:r>
          </w:p>
          <w:p w14:paraId="17D0BEDA">
            <w:pPr>
              <w:widowControl w:val="0"/>
              <w:ind w:right="113"/>
              <w:jc w:val="both"/>
              <w:rPr>
                <w:rFonts w:ascii="Leelawadee" w:hAnsi="Leelawadee" w:eastAsia="Leelawadee" w:cs="Leelawadee"/>
                <w:color w:val="000000"/>
              </w:rPr>
            </w:pPr>
            <w:r>
              <w:rPr>
                <w:sz w:val="23"/>
                <w:szCs w:val="23"/>
              </w:rPr>
              <w:t xml:space="preserve"> Cabendo registrar que o presente objeto é conhecido e contratado de forma corriqueira pela Secretaria de Saúde, sendo um serviço essencial e contínuo.</w:t>
            </w:r>
          </w:p>
        </w:tc>
      </w:tr>
      <w:tr w14:paraId="0DFEE7AE">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9650"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4902DDAC">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DESCRIÇÃO DA NECESSIDADE:</w:t>
            </w:r>
          </w:p>
        </w:tc>
      </w:tr>
      <w:tr w14:paraId="031BDAD8">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0930" w:hRule="atLeast"/>
        </w:trPr>
        <w:tc>
          <w:tcPr>
            <w:tcW w:w="9650" w:type="dxa"/>
            <w:tcBorders>
              <w:top w:val="single" w:color="00000A" w:sz="4" w:space="0"/>
              <w:left w:val="single" w:color="00000A" w:sz="4" w:space="0"/>
              <w:bottom w:val="single" w:color="00000A" w:sz="4" w:space="0"/>
              <w:right w:val="single" w:color="00000A" w:sz="4" w:space="0"/>
            </w:tcBorders>
            <w:shd w:val="clear" w:color="auto" w:fill="auto"/>
          </w:tcPr>
          <w:p w14:paraId="070AA9AC">
            <w:pPr>
              <w:widowControl w:val="0"/>
              <w:spacing w:line="276" w:lineRule="auto"/>
              <w:ind w:right="113"/>
              <w:jc w:val="both"/>
            </w:pPr>
            <w:r>
              <w:rPr>
                <w:b/>
                <w:color w:val="000000"/>
                <w:sz w:val="23"/>
                <w:szCs w:val="23"/>
              </w:rPr>
              <w:t>O objeto do presente ETP, em elaboração pela Secretaria Municipal de Saúde tem como objetivo a escolha da melhor solução para atender as Unidades que compõem a Rede Municipal de Saúde no que se refere a prestação dos serviços de transporte de passageiros (PACIENTES E ACOMPANHANTES), considerando como itinerário o trajeto que vai do município de embarque qual seja, Nova Friburgo ao Município de desembarque pré-determinado pela Central de Regulação/TFD (Tratamento Fora de Domicilio), Coordenação de Saúde Auditiva, Programa Melhor em Casa e Atenção Básica (Saúde da Criança , Adolescente e Aleitamento Materno).</w:t>
            </w:r>
          </w:p>
          <w:p w14:paraId="3F1BEC73">
            <w:pPr>
              <w:widowControl w:val="0"/>
              <w:spacing w:line="276" w:lineRule="auto"/>
              <w:ind w:right="113"/>
              <w:jc w:val="both"/>
              <w:rPr>
                <w:sz w:val="23"/>
                <w:szCs w:val="23"/>
              </w:rPr>
            </w:pPr>
            <w:r>
              <w:rPr>
                <w:sz w:val="23"/>
                <w:szCs w:val="23"/>
              </w:rPr>
              <w:t>A contratação em tela tem o objetivo de melhor atendimento aos usuários da Rede Municipal de Saúde de Nova Friburgo tendo como principal objetivo transportar com eficiência e segurança os pacientes do SUS.</w:t>
            </w:r>
          </w:p>
          <w:p w14:paraId="2D4ABDC3">
            <w:pPr>
              <w:widowControl w:val="0"/>
              <w:numPr>
                <w:ilvl w:val="1"/>
                <w:numId w:val="2"/>
              </w:numPr>
              <w:spacing w:line="276" w:lineRule="auto"/>
              <w:ind w:right="227"/>
              <w:jc w:val="both"/>
              <w:rPr>
                <w:sz w:val="23"/>
                <w:szCs w:val="23"/>
              </w:rPr>
            </w:pPr>
            <w:bookmarkStart w:id="0" w:name="lu5auk8pln7n" w:colFirst="0" w:colLast="0"/>
            <w:bookmarkEnd w:id="0"/>
            <w:r>
              <w:rPr>
                <w:color w:val="000000"/>
                <w:sz w:val="23"/>
                <w:szCs w:val="23"/>
              </w:rPr>
              <w:t>O serviço em apreço justifica-se por sua essencialidade,</w:t>
            </w:r>
            <w:r>
              <w:rPr>
                <w:sz w:val="23"/>
                <w:szCs w:val="23"/>
              </w:rPr>
              <w:t xml:space="preserve"> devido ao fato da Secretaria Municipal de Saúde não possuir na sua frota veículos que atendam a demanda pretendida.</w:t>
            </w:r>
          </w:p>
          <w:p w14:paraId="275EAE58">
            <w:pPr>
              <w:widowControl w:val="0"/>
              <w:numPr>
                <w:ilvl w:val="1"/>
                <w:numId w:val="2"/>
              </w:numPr>
              <w:spacing w:line="276" w:lineRule="auto"/>
              <w:ind w:right="227"/>
              <w:jc w:val="both"/>
              <w:rPr>
                <w:sz w:val="23"/>
                <w:szCs w:val="23"/>
              </w:rPr>
            </w:pPr>
            <w:r>
              <w:rPr>
                <w:sz w:val="23"/>
                <w:szCs w:val="23"/>
              </w:rPr>
              <w:t>O Tratamento Fora de Domicílio – TFD –, instituído pela Portaria n.º 55 da Secretaria de Assistência à Saúde – Ministério da Saúde –, é um instrumento legal que visa garantir, o deslocamento de usuários do SUS para outro município ou estado da federação, quando o atendimento de saúde a ser prestado pelo município de origem não dispuser do tratamento necessário ou esgotados todos os meios de tratamento.</w:t>
            </w:r>
          </w:p>
          <w:p w14:paraId="76532AE6">
            <w:pPr>
              <w:widowControl w:val="0"/>
              <w:numPr>
                <w:ilvl w:val="1"/>
                <w:numId w:val="2"/>
              </w:numPr>
              <w:spacing w:line="276" w:lineRule="auto"/>
              <w:jc w:val="both"/>
              <w:rPr>
                <w:sz w:val="23"/>
                <w:szCs w:val="23"/>
              </w:rPr>
            </w:pPr>
            <w:r>
              <w:rPr>
                <w:sz w:val="23"/>
                <w:szCs w:val="23"/>
              </w:rPr>
              <w:t>O transporte do Programa Saúde Auditiva compreende-se no encaminhamento de pacientes para serem atendidos no Prosa Natividade, que é a referência para atendimento de média e alta complexidade, para realização de avaliação, protetização (quando necessário) e posterior acompanhamento dos mesmos.</w:t>
            </w:r>
          </w:p>
          <w:p w14:paraId="6FA1BDF3">
            <w:pPr>
              <w:widowControl w:val="0"/>
              <w:numPr>
                <w:ilvl w:val="1"/>
                <w:numId w:val="2"/>
              </w:numPr>
              <w:spacing w:line="276" w:lineRule="auto"/>
              <w:ind w:right="227"/>
              <w:jc w:val="both"/>
              <w:rPr>
                <w:sz w:val="23"/>
                <w:szCs w:val="23"/>
              </w:rPr>
            </w:pPr>
            <w:r>
              <w:rPr>
                <w:sz w:val="23"/>
                <w:szCs w:val="23"/>
              </w:rPr>
              <w:t>Não obstante a relevância desses procedimentos para garantir a todos os munícipes o acesso universal aos serviços de saúde, a administração pública deve dedicar-se, incessantemente, à redução do risco de doença e de outros agravos e ao acesso universal e igualitário às ações e serviços para promoção, proteção e recuperação da saúde.</w:t>
            </w:r>
          </w:p>
          <w:p w14:paraId="2B0111FC">
            <w:pPr>
              <w:widowControl w:val="0"/>
              <w:numPr>
                <w:ilvl w:val="1"/>
                <w:numId w:val="2"/>
              </w:numPr>
              <w:spacing w:line="276" w:lineRule="auto"/>
              <w:ind w:right="227"/>
              <w:jc w:val="both"/>
              <w:rPr>
                <w:sz w:val="23"/>
                <w:szCs w:val="23"/>
              </w:rPr>
            </w:pPr>
            <w:r>
              <w:rPr>
                <w:sz w:val="23"/>
                <w:szCs w:val="23"/>
              </w:rPr>
              <w:t>Nesse aspecto, em missão de ampliar e viabilizar o acesso dos usuários do Sistema Único de Saúde – SUS –, às ações e serviços públicos de saúde, sobretudo, no tocante ao Tratamento Fora do Domicílio, oferecendo-lhes comodidade no deslocamento de suas residências ao município de destino, a Secretaria Municipal de Saúde oferece o benefício, dentre outras formas, através do fornecimento do serviço de transporte para atendimento aos pacientes que necessitem de assistência médico-hospitalar.</w:t>
            </w:r>
          </w:p>
          <w:p w14:paraId="631BAA04">
            <w:pPr>
              <w:widowControl w:val="0"/>
              <w:tabs>
                <w:tab w:val="left" w:pos="567"/>
              </w:tabs>
              <w:spacing w:after="0" w:line="276" w:lineRule="auto"/>
              <w:ind w:right="113"/>
              <w:jc w:val="both"/>
              <w:rPr>
                <w:color w:val="000000"/>
                <w:sz w:val="23"/>
                <w:szCs w:val="23"/>
                <w:highlight w:val="white"/>
              </w:rPr>
            </w:pPr>
            <w:r>
              <w:rPr>
                <w:color w:val="000000"/>
                <w:sz w:val="23"/>
                <w:szCs w:val="23"/>
                <w:highlight w:val="white"/>
              </w:rPr>
              <w:t>Conclui-se que a presente contratação é imprescindível para o funcionamento das unidades da Rede Municipal de Saúde.</w:t>
            </w:r>
          </w:p>
          <w:p w14:paraId="37564182">
            <w:pPr>
              <w:widowControl w:val="0"/>
              <w:tabs>
                <w:tab w:val="left" w:pos="567"/>
              </w:tabs>
              <w:spacing w:after="0" w:line="276" w:lineRule="auto"/>
              <w:ind w:right="113"/>
              <w:jc w:val="both"/>
              <w:rPr>
                <w:color w:val="000000"/>
                <w:sz w:val="23"/>
                <w:szCs w:val="23"/>
                <w:highlight w:val="white"/>
              </w:rPr>
            </w:pPr>
          </w:p>
        </w:tc>
      </w:tr>
    </w:tbl>
    <w:p w14:paraId="5EA72FF0">
      <w:pPr>
        <w:pBdr>
          <w:top w:val="none" w:color="auto" w:sz="0" w:space="0"/>
          <w:left w:val="none" w:color="auto" w:sz="0" w:space="0"/>
          <w:bottom w:val="none" w:color="auto" w:sz="0" w:space="0"/>
          <w:right w:val="none" w:color="auto" w:sz="0" w:space="0"/>
          <w:between w:val="none" w:color="auto" w:sz="0" w:space="0"/>
        </w:pBdr>
        <w:spacing w:after="140" w:line="288" w:lineRule="auto"/>
        <w:rPr>
          <w:color w:val="000000"/>
          <w:sz w:val="23"/>
          <w:szCs w:val="23"/>
        </w:rPr>
      </w:pPr>
    </w:p>
    <w:tbl>
      <w:tblPr>
        <w:tblStyle w:val="18"/>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0C703615">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1F3863"/>
          </w:tcPr>
          <w:p w14:paraId="4EE6EF1E">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REQUISITOS DA CONTRATAÇÃO:</w:t>
            </w:r>
          </w:p>
        </w:tc>
      </w:tr>
      <w:tr w14:paraId="7339FA2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5730" w:hRule="atLeast"/>
        </w:trPr>
        <w:tc>
          <w:tcPr>
            <w:tcW w:w="10155" w:type="dxa"/>
            <w:tcBorders>
              <w:top w:val="single" w:color="00000A" w:sz="4" w:space="0"/>
              <w:left w:val="single" w:color="00000A" w:sz="4" w:space="0"/>
              <w:bottom w:val="single" w:color="00000A" w:sz="4" w:space="0"/>
              <w:right w:val="single" w:color="00000A" w:sz="4" w:space="0"/>
            </w:tcBorders>
            <w:shd w:val="clear" w:color="auto" w:fill="auto"/>
          </w:tcPr>
          <w:p w14:paraId="47D7717C">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ind w:right="113"/>
              <w:jc w:val="both"/>
              <w:rPr>
                <w:color w:val="000000"/>
                <w:sz w:val="23"/>
                <w:szCs w:val="23"/>
                <w:highlight w:val="white"/>
              </w:rPr>
            </w:pPr>
            <w:r>
              <w:rPr>
                <w:color w:val="000000"/>
                <w:sz w:val="23"/>
                <w:szCs w:val="23"/>
                <w:highlight w:val="white"/>
              </w:rPr>
              <w:t xml:space="preserve">Os serviços objeto desta contratação são caracterizados como comuns, tendo em vista que seus padrões de desempenho e qualidade podem ser definidos objetivamente em especificações usualmente adotadas no mercado. As empresas especializadas na prestação desses serviços estão habituadas com as exigências contidas nos editais de licitação para este tipo de contratação e oferecem seus serviços de modo a atender os requisitos e exigências do serviço público. </w:t>
            </w:r>
          </w:p>
          <w:p w14:paraId="2F29822E">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0" w:line="276" w:lineRule="auto"/>
              <w:jc w:val="both"/>
              <w:rPr>
                <w:color w:val="000000"/>
                <w:sz w:val="23"/>
                <w:szCs w:val="23"/>
                <w:highlight w:val="white"/>
              </w:rPr>
            </w:pPr>
          </w:p>
          <w:p w14:paraId="6673FA45">
            <w:pPr>
              <w:widowControl w:val="0"/>
              <w:tabs>
                <w:tab w:val="left" w:pos="567"/>
              </w:tabs>
              <w:spacing w:after="0" w:line="276" w:lineRule="auto"/>
              <w:ind w:right="113"/>
              <w:jc w:val="both"/>
              <w:rPr>
                <w:color w:val="000000"/>
                <w:sz w:val="23"/>
                <w:szCs w:val="23"/>
                <w:highlight w:val="white"/>
              </w:rPr>
            </w:pPr>
            <w:r>
              <w:rPr>
                <w:color w:val="000000"/>
                <w:sz w:val="23"/>
                <w:szCs w:val="23"/>
                <w:highlight w:val="white"/>
              </w:rPr>
              <w:t>Da mesma forma, tais serviços são enquadrados como continuados, tendo em vista que visa atender à necessidade pública de forma permanente e contínua, por mais de um exercício financeiro, assegurando o funcionamento das atividades nas Unidades de saúde, de modo que sua interrupção poderá comprometer a prestação de um serviço público ou o cumprimento de sua missão institucional, sendo a vigência plurianual mais vantajosa. Trata-se de serviço essencial e contínuo.</w:t>
            </w:r>
          </w:p>
          <w:p w14:paraId="0A5527EC">
            <w:pPr>
              <w:widowControl w:val="0"/>
              <w:tabs>
                <w:tab w:val="left" w:pos="567"/>
              </w:tabs>
              <w:spacing w:after="0" w:line="276" w:lineRule="auto"/>
              <w:jc w:val="both"/>
              <w:rPr>
                <w:color w:val="000000"/>
                <w:sz w:val="23"/>
                <w:szCs w:val="23"/>
                <w:highlight w:val="white"/>
              </w:rPr>
            </w:pPr>
          </w:p>
          <w:p w14:paraId="7FE95010">
            <w:pPr>
              <w:widowControl w:val="0"/>
              <w:pBdr>
                <w:top w:val="none" w:color="auto" w:sz="0" w:space="0"/>
                <w:left w:val="none" w:color="auto" w:sz="0" w:space="0"/>
                <w:bottom w:val="none" w:color="auto" w:sz="0" w:space="0"/>
                <w:right w:val="none" w:color="auto" w:sz="0" w:space="0"/>
                <w:between w:val="none" w:color="auto" w:sz="0" w:space="0"/>
              </w:pBdr>
              <w:tabs>
                <w:tab w:val="left" w:pos="390"/>
              </w:tabs>
              <w:spacing w:after="200" w:line="276" w:lineRule="auto"/>
              <w:ind w:right="113"/>
              <w:jc w:val="both"/>
              <w:rPr>
                <w:color w:val="000000"/>
                <w:sz w:val="23"/>
                <w:szCs w:val="23"/>
                <w:highlight w:val="white"/>
              </w:rPr>
            </w:pPr>
            <w:r>
              <w:rPr>
                <w:color w:val="000000"/>
                <w:sz w:val="23"/>
                <w:szCs w:val="23"/>
                <w:highlight w:val="white"/>
              </w:rPr>
              <w:t>Para a prestação dos serviços pretendidos os eventuais interessados deverão comprovar que atuam em ramo de atividade compatível com o objeto da licitação, bem como apresentar todos os documentos a título habilitação, nos termos do art. 62, da Lei nº 14.133/2021.</w:t>
            </w:r>
          </w:p>
          <w:p w14:paraId="34B17305">
            <w:pPr>
              <w:widowControl w:val="0"/>
              <w:spacing w:line="276" w:lineRule="auto"/>
              <w:ind w:right="227"/>
              <w:jc w:val="both"/>
              <w:rPr>
                <w:color w:val="000000"/>
                <w:sz w:val="23"/>
                <w:szCs w:val="23"/>
              </w:rPr>
            </w:pPr>
            <w:r>
              <w:rPr>
                <w:color w:val="000000"/>
                <w:sz w:val="23"/>
                <w:szCs w:val="23"/>
              </w:rPr>
              <w:t>Os requisitos necessários para o atendimento da necessidade, envolvem, dentre outros:</w:t>
            </w:r>
          </w:p>
          <w:p w14:paraId="16964E60">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200" w:line="276" w:lineRule="auto"/>
              <w:ind w:right="227"/>
              <w:jc w:val="both"/>
              <w:rPr>
                <w:color w:val="000000"/>
                <w:sz w:val="23"/>
                <w:szCs w:val="23"/>
              </w:rPr>
            </w:pPr>
            <w:r>
              <w:rPr>
                <w:color w:val="000000"/>
                <w:sz w:val="23"/>
                <w:szCs w:val="23"/>
              </w:rPr>
              <w:t>A contratada responderá exclusiva e integralmente pela utilização de pessoal para execução do objeto contratado, incluídos os encargos trabalhistas, previdenciários, sociais, fiscais e comerciais resultantes de vínculo empregatício, ou comercial, cujo ônus e obrigações em nenhuma hipótese poderão ser transferidos para a Secretaria Municipal de Saúde de Nova Friburgo.</w:t>
            </w:r>
          </w:p>
          <w:p w14:paraId="1F497E43">
            <w:pPr>
              <w:widowControl w:val="0"/>
              <w:tabs>
                <w:tab w:val="left" w:pos="390"/>
              </w:tabs>
              <w:spacing w:after="200" w:line="276" w:lineRule="auto"/>
              <w:jc w:val="both"/>
              <w:rPr>
                <w:color w:val="000000"/>
                <w:sz w:val="23"/>
                <w:szCs w:val="23"/>
              </w:rPr>
            </w:pPr>
            <w:r>
              <w:rPr>
                <w:color w:val="000000"/>
                <w:sz w:val="23"/>
                <w:szCs w:val="23"/>
              </w:rPr>
              <w:t>Poderão participar do processo de contratação as pessoas jurídicas do ramo pertinente ao objeto licitado.</w:t>
            </w:r>
          </w:p>
          <w:p w14:paraId="617D8B75">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color w:val="000000"/>
                <w:sz w:val="23"/>
                <w:szCs w:val="23"/>
              </w:rPr>
            </w:pPr>
            <w:r>
              <w:rPr>
                <w:color w:val="000000"/>
                <w:sz w:val="23"/>
                <w:szCs w:val="23"/>
              </w:rPr>
              <w:t>A execução dos atendimentos deverá ser realizada por meio de profissionais capacitados responsabilizando-se por quaisquer danos causados pelos mesmos aos pacientes, decorrentes de omissão, negligência, imperícia ou imprudência.</w:t>
            </w:r>
          </w:p>
          <w:p w14:paraId="285BED6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1425"/>
              <w:rPr>
                <w:color w:val="000000"/>
                <w:sz w:val="23"/>
                <w:szCs w:val="23"/>
              </w:rPr>
            </w:pPr>
          </w:p>
          <w:p w14:paraId="69AF89D1">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color w:val="000000"/>
                <w:sz w:val="23"/>
                <w:szCs w:val="23"/>
              </w:rPr>
            </w:pPr>
            <w:r>
              <w:rPr>
                <w:color w:val="000000"/>
                <w:sz w:val="23"/>
                <w:szCs w:val="23"/>
              </w:rPr>
              <w:t>A contratada manter –se – a, durante toda a execução do contrato, em compatibilidade com as condições exigidas nesse instrumento.</w:t>
            </w:r>
          </w:p>
          <w:p w14:paraId="0E470B5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1425"/>
              <w:jc w:val="both"/>
              <w:rPr>
                <w:color w:val="000000"/>
                <w:sz w:val="23"/>
                <w:szCs w:val="23"/>
              </w:rPr>
            </w:pPr>
          </w:p>
          <w:p w14:paraId="568BD2F7">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200" w:line="276" w:lineRule="auto"/>
              <w:ind w:right="227"/>
              <w:jc w:val="both"/>
              <w:rPr>
                <w:color w:val="000000"/>
                <w:sz w:val="23"/>
                <w:szCs w:val="23"/>
              </w:rPr>
            </w:pPr>
            <w:r>
              <w:rPr>
                <w:color w:val="000000"/>
                <w:sz w:val="23"/>
                <w:szCs w:val="23"/>
              </w:rPr>
              <w:t>Não poderá haver por parte da contratada qualquer obstáculo ou impedimento às vistorias técnicas que poderão ser realizadas pela Secretaria Municipal de Saúde.</w:t>
            </w:r>
          </w:p>
          <w:p w14:paraId="4D2921F3">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b/>
                <w:color w:val="000000"/>
                <w:sz w:val="23"/>
                <w:szCs w:val="23"/>
              </w:rPr>
            </w:pPr>
            <w:r>
              <w:rPr>
                <w:b/>
                <w:color w:val="000000"/>
                <w:sz w:val="23"/>
                <w:szCs w:val="23"/>
              </w:rPr>
              <w:t>Todos os veículos deverão ser identificados com a marca e logotipo da Secretaria Municipal de Saúde de Nova Friburgo e/ou da Prefeitura Municipal de Nova Friburgo, verificadas as normas vigentes para tal, sendo os custos de responsabilidade da CONTRATADA.</w:t>
            </w:r>
          </w:p>
          <w:p w14:paraId="3E084769">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858"/>
              <w:jc w:val="both"/>
              <w:rPr>
                <w:b/>
                <w:color w:val="000000"/>
                <w:sz w:val="23"/>
                <w:szCs w:val="23"/>
              </w:rPr>
            </w:pPr>
          </w:p>
          <w:p w14:paraId="5EA862B5">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firstLine="57"/>
              <w:jc w:val="both"/>
              <w:rPr>
                <w:rFonts w:ascii="Times New Roman" w:hAnsi="Times New Roman" w:eastAsia="Times New Roman" w:cs="Times New Roman"/>
                <w:color w:val="000000"/>
                <w:sz w:val="24"/>
                <w:szCs w:val="24"/>
              </w:rPr>
            </w:pPr>
            <w:r>
              <w:rPr>
                <w:b/>
                <w:color w:val="000000"/>
                <w:sz w:val="23"/>
                <w:szCs w:val="23"/>
              </w:rPr>
              <w:t>O local de embarque para ida e desembarque para retorno, horários, endereços, nomes e telefone de passageiros, serão ser especificados e definidos pelo CONTRATANTE.</w:t>
            </w:r>
          </w:p>
          <w:p w14:paraId="7CDF923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color w:val="000000"/>
                <w:sz w:val="23"/>
                <w:szCs w:val="23"/>
              </w:rPr>
            </w:pPr>
          </w:p>
          <w:p w14:paraId="27FA4238">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A prestação de serviços compreenderá o transporte de passageiros, sendo o itinerário compreendido entre o Município de embarque, qual seja Nova Friburgo, especificado em cada requisição (Anexo I) até o Município/Local pré-determinado pela Central de Regulação - TFD e/ou Coordenação de Saúde Auditiva da Secretaria Municipal de Saúde, para desembarque.</w:t>
            </w:r>
          </w:p>
          <w:p w14:paraId="46CB353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sz w:val="23"/>
                <w:szCs w:val="23"/>
              </w:rPr>
            </w:pPr>
          </w:p>
          <w:p w14:paraId="7CC439EA">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A empresa CONTRATADA deverá indicar telefone que possa ser acionado 24 horas para solução de eventuais problemas relativos ao contrato.</w:t>
            </w:r>
          </w:p>
          <w:p w14:paraId="0EEED12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sz w:val="23"/>
                <w:szCs w:val="23"/>
              </w:rPr>
            </w:pPr>
          </w:p>
          <w:p w14:paraId="7ADA847B">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Os veículos que transportarão os passageiros devem possuir obrigatoriamente seguro de passageiros.</w:t>
            </w:r>
          </w:p>
          <w:p w14:paraId="2C194F2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sz w:val="23"/>
                <w:szCs w:val="23"/>
              </w:rPr>
            </w:pPr>
          </w:p>
          <w:p w14:paraId="61FF7226">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Os veículos deverão estar em bom estado de conservação e suas manutenções periódicas em dia, devendo a CONTRATADA, enviar relatório das manutenções corretivas e preventivas.</w:t>
            </w:r>
          </w:p>
          <w:p w14:paraId="1FCAFED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rPr>
            </w:pPr>
          </w:p>
          <w:p w14:paraId="49A01CB5">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113"/>
              <w:jc w:val="both"/>
              <w:rPr>
                <w:rFonts w:ascii="Times New Roman" w:hAnsi="Times New Roman" w:eastAsia="Times New Roman" w:cs="Times New Roman"/>
                <w:color w:val="000000"/>
                <w:sz w:val="24"/>
                <w:szCs w:val="24"/>
              </w:rPr>
            </w:pPr>
            <w:r>
              <w:rPr>
                <w:b/>
                <w:color w:val="000000"/>
                <w:sz w:val="23"/>
                <w:szCs w:val="23"/>
              </w:rPr>
              <w:t>A empresa deverá manter a limpeza interna e externa dos veículos.</w:t>
            </w:r>
          </w:p>
          <w:p w14:paraId="1E7A1CFB">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sz w:val="20"/>
                <w:szCs w:val="20"/>
              </w:rPr>
            </w:pPr>
          </w:p>
          <w:p w14:paraId="4DB678C3">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A empresa deverá assegurar socorro imediato ou substituição do veículo em caso de acidente ou defeitos de qualquer natureza.</w:t>
            </w:r>
          </w:p>
          <w:p w14:paraId="6C43B7C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sz w:val="23"/>
                <w:szCs w:val="23"/>
              </w:rPr>
            </w:pPr>
          </w:p>
          <w:p w14:paraId="7CEEB03F">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Os motoristas deverão possuir habilitação pertinente aos veículos que estarão conduzindo  e ter bons antecedentes, bem como possuir curso de direção defensiva.</w:t>
            </w:r>
          </w:p>
          <w:p w14:paraId="6BEC686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rPr>
            </w:pPr>
          </w:p>
          <w:p w14:paraId="676F346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rPr>
            </w:pPr>
          </w:p>
          <w:p w14:paraId="303B2C2A">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Os veículos deverão possuir rastreador, com tecnologia GPRS/GSM (via satélite), para monitoramento da localização e velocidade dos veículos, controle das rotas percorridas (Km rodado de cada viagem) e fornecimento de informações mais detalhadas.</w:t>
            </w:r>
          </w:p>
          <w:p w14:paraId="691A16A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color w:val="000000"/>
                <w:sz w:val="20"/>
                <w:szCs w:val="20"/>
              </w:rPr>
            </w:pPr>
          </w:p>
          <w:p w14:paraId="28E4FFBB">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A CONTRATADA deverá disponibilizar acesso a CONTRATANTE ao sistema de rastreamento 24h/dia.</w:t>
            </w:r>
          </w:p>
          <w:p w14:paraId="74337FB3">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firstLine="397"/>
              <w:jc w:val="both"/>
              <w:rPr>
                <w:color w:val="000000"/>
              </w:rPr>
            </w:pPr>
          </w:p>
          <w:p w14:paraId="76B6DCE7">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Os veículos deverão estar registrados, junto ao DETRAN/RJ, em nome da empresa CONTRATADA, a Licitante classificada terá um prazo de até 07 (sete) dias, após a finalização da sessão pública do pregão e antes da Homologação do Certame, para apresentar à Secretaria Municipal de Saúde, as cópias dos documentos indicados.</w:t>
            </w:r>
          </w:p>
          <w:p w14:paraId="604572E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b/>
                <w:color w:val="000000"/>
                <w:sz w:val="20"/>
                <w:szCs w:val="20"/>
              </w:rPr>
            </w:pPr>
          </w:p>
          <w:p w14:paraId="63558119">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A empresa licitante deverá apresentar Certificado de Registro de Transporte Rodoviário Intermunicipal de Passageiros junto ao DETRO/RJ para a operação do fretamento por meio de locação/aluguel de veículos com motoristas, na forma do artigo 95, inciso IV e § 4º do Decreto nº. 42.868 de 28/02/2011.</w:t>
            </w:r>
          </w:p>
          <w:p w14:paraId="624687FA">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firstLine="397"/>
              <w:jc w:val="both"/>
              <w:rPr>
                <w:color w:val="000000"/>
                <w:sz w:val="20"/>
                <w:szCs w:val="20"/>
              </w:rPr>
            </w:pPr>
          </w:p>
          <w:p w14:paraId="46DB713D">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276" w:lineRule="auto"/>
              <w:ind w:right="227"/>
              <w:jc w:val="both"/>
              <w:rPr>
                <w:rFonts w:ascii="Times New Roman" w:hAnsi="Times New Roman" w:eastAsia="Times New Roman" w:cs="Times New Roman"/>
                <w:color w:val="000000"/>
                <w:sz w:val="24"/>
                <w:szCs w:val="24"/>
              </w:rPr>
            </w:pPr>
            <w:r>
              <w:rPr>
                <w:b/>
                <w:color w:val="000000"/>
                <w:sz w:val="23"/>
                <w:szCs w:val="23"/>
              </w:rPr>
              <w:t>Os veículos deverão ser equipados com Tacógrafo (Registrador Instantâneo Inalterável de Velocidade e Tempo), conforme RESOLUÇÃO Nº 14/98.</w:t>
            </w:r>
          </w:p>
          <w:p w14:paraId="6B940ED1">
            <w:pPr>
              <w:widowControl w:val="0"/>
              <w:numPr>
                <w:ilvl w:val="0"/>
                <w:numId w:val="2"/>
              </w:numPr>
              <w:spacing w:before="240" w:after="240" w:line="276" w:lineRule="auto"/>
              <w:jc w:val="both"/>
              <w:rPr>
                <w:b/>
                <w:sz w:val="23"/>
                <w:szCs w:val="23"/>
              </w:rPr>
            </w:pPr>
            <w:r>
              <w:rPr>
                <w:b/>
                <w:sz w:val="20"/>
                <w:szCs w:val="20"/>
              </w:rPr>
              <w:t>-</w:t>
            </w:r>
            <w:r>
              <w:rPr>
                <w:b/>
              </w:rPr>
              <w:t xml:space="preserve"> DAS DATAS (Inclui se ao período de prestação ao serviço os sete dias da semana) incluindo os fins de semana, quando necessário), HORÁRIOS, ITINERÁRIOS, LOCAIS DE EMBARQUE E DESEMBARQUE, o local de embarque para ida e desembarque para retorno, horários, endereços de destino, nomes e telefone de passageiros, serão especificados e definidos pela </w:t>
            </w:r>
            <w:r>
              <w:rPr>
                <w:b/>
                <w:u w:val="single"/>
              </w:rPr>
              <w:t>CONTRATANTE.</w:t>
            </w:r>
          </w:p>
          <w:p w14:paraId="2A096A14">
            <w:pPr>
              <w:widowControl w:val="0"/>
              <w:numPr>
                <w:ilvl w:val="0"/>
                <w:numId w:val="2"/>
              </w:numPr>
              <w:spacing w:before="240" w:after="240" w:line="276" w:lineRule="auto"/>
              <w:jc w:val="both"/>
              <w:rPr>
                <w:b/>
              </w:rPr>
            </w:pPr>
            <w:r>
              <w:rPr>
                <w:b/>
                <w:u w:val="single"/>
              </w:rPr>
              <w:t>- Os itinerários do transporte compreendidos aos finais de semana possuem frequência menor em relação ao compreendido entre segunda-feira a sexta-feira, ocasionando assim, uma redução considerável de transporte necessário. Contudo, em virtude de algumas rotinas estabelecidas nas unidades Estaduais de referência, estes devem ser considerados a prestação do serviço, desta forma, devem estar a disposição a contratualização e rotina. Assim, determina se necessária a realização dos referidos transportes de pacientes e acompanhantes, nos mesmos moldes da rotina estabelecida pelo setor de TFD com a devida comunicação à empresa na véspera da realização do transporte. Deve ser mencionado, que a disponibilidade ao atendimento das unidades de referência, se dá de forma diversificada e imprevisível, de acordo com as normas de atendimento das unidades pactuadas e viabilidade aos tratamentos instituídos ao SUS.</w:t>
            </w:r>
          </w:p>
          <w:p w14:paraId="4637485F">
            <w:pPr>
              <w:widowControl w:val="0"/>
              <w:numPr>
                <w:ilvl w:val="0"/>
                <w:numId w:val="2"/>
              </w:numPr>
              <w:tabs>
                <w:tab w:val="left" w:pos="540"/>
              </w:tabs>
              <w:spacing w:line="276" w:lineRule="auto"/>
              <w:jc w:val="both"/>
              <w:rPr>
                <w:b/>
                <w:sz w:val="23"/>
                <w:szCs w:val="23"/>
                <w:u w:val="single"/>
              </w:rPr>
            </w:pPr>
            <w:r>
              <w:rPr>
                <w:b/>
                <w:sz w:val="23"/>
                <w:szCs w:val="23"/>
                <w:u w:val="single"/>
              </w:rPr>
              <w:t>DOS VEÍCULOS</w:t>
            </w:r>
          </w:p>
          <w:p w14:paraId="51E04CD0">
            <w:pPr>
              <w:widowControl w:val="0"/>
              <w:tabs>
                <w:tab w:val="left" w:pos="540"/>
              </w:tabs>
              <w:spacing w:line="276" w:lineRule="auto"/>
              <w:jc w:val="both"/>
              <w:rPr>
                <w:sz w:val="23"/>
                <w:szCs w:val="23"/>
              </w:rPr>
            </w:pPr>
            <w:r>
              <w:rPr>
                <w:sz w:val="23"/>
                <w:szCs w:val="23"/>
              </w:rPr>
              <w:t>Comprovação de disponibilidade da totalidade dos veículos do efetivo solicitado, por cópia do CRLV (Certificado de Registro e Licenciamento de Veículo), em nome da empresa licitante;</w:t>
            </w:r>
          </w:p>
          <w:p w14:paraId="24EF9B69">
            <w:pPr>
              <w:widowControl w:val="0"/>
              <w:tabs>
                <w:tab w:val="left" w:pos="540"/>
              </w:tabs>
              <w:spacing w:line="276" w:lineRule="auto"/>
              <w:jc w:val="both"/>
              <w:rPr>
                <w:sz w:val="23"/>
                <w:szCs w:val="23"/>
              </w:rPr>
            </w:pPr>
            <w:r>
              <w:rPr>
                <w:sz w:val="23"/>
                <w:szCs w:val="23"/>
              </w:rPr>
              <w:t>Certificado do Cronotacógrafo emitido pelo INMETRO, de todos os veículos do efetivo solicitado, na forma do art. 105 do C.T.B. (Lei 9.503/97 e Resolução CONATRAN 92 de 1999);</w:t>
            </w:r>
          </w:p>
          <w:p w14:paraId="1729C870">
            <w:pPr>
              <w:widowControl w:val="0"/>
              <w:tabs>
                <w:tab w:val="left" w:pos="540"/>
              </w:tabs>
              <w:spacing w:line="276" w:lineRule="auto"/>
              <w:jc w:val="both"/>
              <w:rPr>
                <w:sz w:val="23"/>
                <w:szCs w:val="23"/>
              </w:rPr>
            </w:pPr>
            <w:r>
              <w:rPr>
                <w:sz w:val="23"/>
                <w:szCs w:val="23"/>
              </w:rPr>
              <w:t>Cópia(s) da(s) Apólice(s) de Seguro(s) Obrigatório de Danos Pessoais, contra terceiros, passageiros ou não; de pelo menos R$ 50.000,00 (cinquenta mil reais) e seguro de acidente pessoal de passageiros de pelo menos 30.000,00 (trinta mil UFIR) com Apólices em vigência.</w:t>
            </w:r>
          </w:p>
          <w:p w14:paraId="38FB3A7E">
            <w:pPr>
              <w:widowControl w:val="0"/>
              <w:tabs>
                <w:tab w:val="left" w:pos="540"/>
              </w:tabs>
              <w:spacing w:line="276" w:lineRule="auto"/>
              <w:jc w:val="both"/>
              <w:rPr>
                <w:sz w:val="23"/>
                <w:szCs w:val="23"/>
              </w:rPr>
            </w:pPr>
            <w:r>
              <w:rPr>
                <w:sz w:val="23"/>
                <w:szCs w:val="23"/>
              </w:rPr>
              <w:t>Login e senha dos rastreadores dos veículos, para acompanhamento em tempo real por parte da Secretaria Municipal de Saúde.</w:t>
            </w:r>
          </w:p>
          <w:p w14:paraId="18FFCA65">
            <w:pPr>
              <w:widowControl w:val="0"/>
              <w:tabs>
                <w:tab w:val="left" w:pos="540"/>
              </w:tabs>
              <w:spacing w:line="276" w:lineRule="auto"/>
              <w:jc w:val="both"/>
              <w:rPr>
                <w:sz w:val="23"/>
                <w:szCs w:val="23"/>
              </w:rPr>
            </w:pPr>
            <w:r>
              <w:rPr>
                <w:sz w:val="23"/>
                <w:szCs w:val="23"/>
                <w:u w:val="single"/>
              </w:rPr>
              <w:t>A Licitante classificada terá um prazo de até 07 (sete) dias após a finalização da sessão pública do pregão e antes da Homologação do Certame, para apresentar à Secretaria Municipal de Saúde, as cópias dos documentos acima indicados, sob pena de desclassificação pelo não cumprimento do prazo.</w:t>
            </w:r>
          </w:p>
          <w:p w14:paraId="28043745">
            <w:pPr>
              <w:widowControl w:val="0"/>
              <w:tabs>
                <w:tab w:val="left" w:pos="540"/>
              </w:tabs>
              <w:spacing w:line="276" w:lineRule="auto"/>
              <w:jc w:val="both"/>
              <w:rPr>
                <w:sz w:val="12"/>
                <w:szCs w:val="12"/>
                <w:u w:val="single"/>
              </w:rPr>
            </w:pPr>
          </w:p>
          <w:p w14:paraId="44C91CD8">
            <w:pPr>
              <w:widowControl w:val="0"/>
              <w:numPr>
                <w:ilvl w:val="0"/>
                <w:numId w:val="2"/>
              </w:numPr>
              <w:tabs>
                <w:tab w:val="left" w:pos="540"/>
              </w:tabs>
              <w:spacing w:line="276" w:lineRule="auto"/>
              <w:jc w:val="both"/>
              <w:rPr>
                <w:b/>
                <w:sz w:val="23"/>
                <w:szCs w:val="23"/>
                <w:u w:val="single"/>
              </w:rPr>
            </w:pPr>
            <w:r>
              <w:rPr>
                <w:b/>
                <w:sz w:val="23"/>
                <w:szCs w:val="23"/>
                <w:u w:val="single"/>
              </w:rPr>
              <w:t>DOS CONDUTORES</w:t>
            </w:r>
          </w:p>
          <w:p w14:paraId="72646EF2">
            <w:pPr>
              <w:widowControl w:val="0"/>
              <w:tabs>
                <w:tab w:val="left" w:pos="540"/>
              </w:tabs>
              <w:spacing w:line="276" w:lineRule="auto"/>
              <w:jc w:val="both"/>
              <w:rPr>
                <w:sz w:val="23"/>
                <w:szCs w:val="23"/>
              </w:rPr>
            </w:pPr>
            <w:r>
              <w:rPr>
                <w:sz w:val="23"/>
                <w:szCs w:val="23"/>
              </w:rPr>
              <w:t>Cópia de habilitação dos motoristas exigida para transporte de passageiros, que irão prestar serviços, categoria “D” ou superior;</w:t>
            </w:r>
          </w:p>
          <w:p w14:paraId="12012A03">
            <w:pPr>
              <w:widowControl w:val="0"/>
              <w:tabs>
                <w:tab w:val="left" w:pos="540"/>
              </w:tabs>
              <w:spacing w:line="276" w:lineRule="auto"/>
              <w:jc w:val="both"/>
              <w:rPr>
                <w:sz w:val="23"/>
                <w:szCs w:val="23"/>
              </w:rPr>
            </w:pPr>
            <w:r>
              <w:rPr>
                <w:sz w:val="23"/>
                <w:szCs w:val="23"/>
              </w:rPr>
              <w:t>Cópia de Carteira expedida pelo SENAT (Secretaria Nacional de Aprendizagem do Transporte), atualizada, estando apto como condutor de veículo para transporte de passageiros;</w:t>
            </w:r>
          </w:p>
          <w:p w14:paraId="51B55E60">
            <w:pPr>
              <w:widowControl w:val="0"/>
              <w:tabs>
                <w:tab w:val="left" w:pos="540"/>
              </w:tabs>
              <w:spacing w:line="360" w:lineRule="auto"/>
              <w:jc w:val="both"/>
              <w:rPr>
                <w:sz w:val="4"/>
                <w:szCs w:val="4"/>
              </w:rPr>
            </w:pPr>
          </w:p>
          <w:p w14:paraId="35F265F0">
            <w:pPr>
              <w:widowControl w:val="0"/>
              <w:tabs>
                <w:tab w:val="left" w:pos="540"/>
              </w:tabs>
              <w:spacing w:line="360" w:lineRule="auto"/>
              <w:jc w:val="both"/>
              <w:rPr>
                <w:sz w:val="23"/>
                <w:szCs w:val="23"/>
              </w:rPr>
            </w:pPr>
            <w:r>
              <w:rPr>
                <w:sz w:val="23"/>
                <w:szCs w:val="23"/>
              </w:rPr>
              <w:t>Apresentação de Certidão de Prontuário junto ao DETRAN;</w:t>
            </w:r>
          </w:p>
          <w:p w14:paraId="2F3D7298">
            <w:pPr>
              <w:widowControl w:val="0"/>
              <w:tabs>
                <w:tab w:val="left" w:pos="540"/>
              </w:tabs>
              <w:spacing w:line="276" w:lineRule="auto"/>
              <w:jc w:val="both"/>
            </w:pPr>
            <w:r>
              <w:rPr>
                <w:sz w:val="23"/>
                <w:szCs w:val="23"/>
              </w:rPr>
              <w:t xml:space="preserve">Apresentação da </w:t>
            </w:r>
            <w:r>
              <w:rPr>
                <w:color w:val="000000"/>
                <w:sz w:val="23"/>
                <w:szCs w:val="23"/>
                <w:highlight w:val="white"/>
              </w:rPr>
              <w:t>certidão negativa do registro de distribuição criminal relativamente aos crimes de homicídio, roubo, estupro e corrupção de menores, renovável a cada cinco anos, junto ao órgão responsável pela respectiva concessão ou autorização;</w:t>
            </w:r>
          </w:p>
          <w:p w14:paraId="6361F2DB">
            <w:pPr>
              <w:widowControl w:val="0"/>
              <w:tabs>
                <w:tab w:val="left" w:pos="540"/>
              </w:tabs>
              <w:spacing w:line="276" w:lineRule="auto"/>
              <w:jc w:val="both"/>
              <w:rPr>
                <w:sz w:val="23"/>
                <w:szCs w:val="23"/>
              </w:rPr>
            </w:pPr>
            <w:r>
              <w:rPr>
                <w:sz w:val="23"/>
                <w:szCs w:val="23"/>
              </w:rPr>
              <w:t>Documentos dos motoristas contratados, que comprove o vínculo empregatício com a empresa para exercerem tal serviço.</w:t>
            </w:r>
          </w:p>
          <w:p w14:paraId="3FAE99E5">
            <w:pPr>
              <w:widowControl w:val="0"/>
              <w:tabs>
                <w:tab w:val="left" w:pos="540"/>
              </w:tabs>
              <w:spacing w:line="276" w:lineRule="auto"/>
              <w:jc w:val="both"/>
              <w:rPr>
                <w:sz w:val="23"/>
                <w:szCs w:val="23"/>
              </w:rPr>
            </w:pPr>
            <w:r>
              <w:rPr>
                <w:sz w:val="23"/>
                <w:szCs w:val="23"/>
                <w:u w:val="single"/>
              </w:rPr>
              <w:t>A Licitante classificada terá um prazo de até 07 (sete) dias após a finalização da sessão pública do pregão e antes da Homologação do Certame, para apresentar à Secretaria Municipal de Saúde, as cópias dos documentos acima indicados , sob pena de desclassificação pelo não cumprimento do prazo.</w:t>
            </w:r>
          </w:p>
          <w:p w14:paraId="2852B3F8">
            <w:pPr>
              <w:widowControl w:val="0"/>
              <w:tabs>
                <w:tab w:val="left" w:pos="540"/>
              </w:tabs>
              <w:spacing w:line="276" w:lineRule="auto"/>
              <w:jc w:val="both"/>
              <w:rPr>
                <w:sz w:val="23"/>
                <w:szCs w:val="23"/>
                <w:u w:val="single"/>
              </w:rPr>
            </w:pPr>
          </w:p>
          <w:p w14:paraId="07CEF967">
            <w:pPr>
              <w:widowControl w:val="0"/>
              <w:numPr>
                <w:ilvl w:val="0"/>
                <w:numId w:val="2"/>
              </w:numPr>
              <w:tabs>
                <w:tab w:val="left" w:pos="540"/>
              </w:tabs>
              <w:spacing w:line="360" w:lineRule="auto"/>
              <w:jc w:val="both"/>
              <w:rPr>
                <w:b/>
                <w:sz w:val="23"/>
                <w:szCs w:val="23"/>
                <w:u w:val="single"/>
              </w:rPr>
            </w:pPr>
            <w:r>
              <w:rPr>
                <w:b/>
                <w:sz w:val="23"/>
                <w:szCs w:val="23"/>
                <w:u w:val="single"/>
              </w:rPr>
              <w:t>DOS PREÇOS</w:t>
            </w:r>
          </w:p>
          <w:p w14:paraId="2A42A2C3">
            <w:pPr>
              <w:widowControl w:val="0"/>
              <w:tabs>
                <w:tab w:val="left" w:pos="540"/>
              </w:tabs>
              <w:spacing w:line="276" w:lineRule="auto"/>
              <w:jc w:val="both"/>
            </w:pPr>
            <w:r>
              <w:rPr>
                <w:sz w:val="23"/>
                <w:szCs w:val="23"/>
              </w:rPr>
              <w:t>Os preços apresentados (Km rodado) deverão incluir todos os custos diretos, indiretos, seus imprevistos, lucros, ônus fiscais e despesas com impostos, taxas, encargos sociais, seguros etc.</w:t>
            </w:r>
          </w:p>
          <w:p w14:paraId="596ACB1C">
            <w:pPr>
              <w:widowControl w:val="0"/>
              <w:tabs>
                <w:tab w:val="left" w:pos="540"/>
              </w:tabs>
              <w:spacing w:line="360" w:lineRule="auto"/>
              <w:jc w:val="both"/>
              <w:rPr>
                <w:b/>
                <w:sz w:val="23"/>
                <w:szCs w:val="23"/>
              </w:rPr>
            </w:pPr>
            <w:r>
              <w:rPr>
                <w:b/>
                <w:sz w:val="23"/>
                <w:szCs w:val="23"/>
              </w:rPr>
              <w:t>Sustentabilidade:</w:t>
            </w:r>
          </w:p>
          <w:p w14:paraId="70FEDAD1">
            <w:pPr>
              <w:widowControl w:val="0"/>
              <w:tabs>
                <w:tab w:val="left" w:pos="540"/>
              </w:tabs>
              <w:spacing w:line="360" w:lineRule="auto"/>
              <w:ind w:right="113" w:firstLine="454"/>
              <w:jc w:val="both"/>
              <w:rPr>
                <w:sz w:val="23"/>
                <w:szCs w:val="23"/>
              </w:rPr>
            </w:pPr>
            <w:r>
              <w:rPr>
                <w:sz w:val="23"/>
                <w:szCs w:val="23"/>
              </w:rPr>
              <w:t>Além dos critérios de sustentabilidade eventualmente inseridos na descrição do objeto, devem ser atendidos os seguintes requisitos, que se baseiam no Guia Nacional de Contratações Sustentáveis:</w:t>
            </w:r>
          </w:p>
          <w:p w14:paraId="7C1D8878">
            <w:pPr>
              <w:widowControl w:val="0"/>
              <w:shd w:val="clear" w:color="auto" w:fill="FFFFFF"/>
              <w:spacing w:line="276" w:lineRule="auto"/>
              <w:ind w:left="360"/>
              <w:jc w:val="both"/>
              <w:rPr>
                <w:sz w:val="23"/>
                <w:szCs w:val="23"/>
              </w:rPr>
            </w:pPr>
            <w:r>
              <w:rPr>
                <w:b/>
                <w:sz w:val="23"/>
                <w:szCs w:val="23"/>
                <w:highlight w:val="white"/>
              </w:rPr>
              <w:t xml:space="preserve"> </w:t>
            </w:r>
            <w:r>
              <w:rPr>
                <w:sz w:val="23"/>
                <w:szCs w:val="23"/>
                <w:highlight w:val="white"/>
              </w:rPr>
              <w:t>Quanto ao gerenciamento dos resíduos de serviços de saúde, a contratada deverá obedecer às disposições do Plano de Gerenciamento de Resíduos de Serviços de Saúde – PGRSS elaborado pelo órgão, além de obedecer às diretrizes constantes da Lei nº 12.305, de 2010 – Política Nacional de Resíduos Sólidos, Decreto nº 10.936, CONSULTORIA-GERAL DA UNIÃO Guia Nacional de Contratações Sustentáveis 268 de 12/01/2022, Resolução CONAMA n° 358, de 29/04/2005 e RDC 222, de 28/03/2018 – ANVISA.</w:t>
            </w:r>
          </w:p>
          <w:p w14:paraId="1409703D">
            <w:pPr>
              <w:widowControl w:val="0"/>
              <w:shd w:val="clear" w:color="auto" w:fill="FFFFFF"/>
              <w:spacing w:line="276" w:lineRule="auto"/>
              <w:ind w:left="360"/>
              <w:jc w:val="both"/>
              <w:rPr>
                <w:sz w:val="23"/>
                <w:szCs w:val="23"/>
                <w:highlight w:val="white"/>
              </w:rPr>
            </w:pPr>
          </w:p>
          <w:p w14:paraId="49238563">
            <w:pPr>
              <w:widowControl w:val="0"/>
              <w:shd w:val="clear" w:color="auto" w:fill="FFFFFF"/>
              <w:spacing w:line="276" w:lineRule="auto"/>
              <w:ind w:left="360"/>
              <w:jc w:val="both"/>
              <w:rPr>
                <w:sz w:val="23"/>
                <w:szCs w:val="23"/>
                <w:highlight w:val="white"/>
              </w:rPr>
            </w:pPr>
            <w:r>
              <w:rPr>
                <w:sz w:val="23"/>
                <w:szCs w:val="23"/>
                <w:highlight w:val="white"/>
              </w:rPr>
              <w:t>Todos os veículos devem atender aos limites máximos de emissão de poluentes que estejam em conformidade com Programa de Controle da poluição do Ar por Veículos Automotores – PROCONVE P7, conforme Resolução CONAMA nº 18, de 06/05/1986 e nº 315, de 29/10/2002, e legislação correlata, preferencialmente dotados de tecnologia que faculte a diminuição da emissão de gases e/ou substâncias poluentes.</w:t>
            </w:r>
          </w:p>
          <w:p w14:paraId="72C10DC4">
            <w:pPr>
              <w:widowControl w:val="0"/>
              <w:shd w:val="clear" w:color="auto" w:fill="FFFFFF"/>
              <w:spacing w:line="276" w:lineRule="auto"/>
              <w:ind w:left="360"/>
              <w:jc w:val="both"/>
              <w:rPr>
                <w:color w:val="000000"/>
                <w:sz w:val="23"/>
                <w:szCs w:val="23"/>
                <w:highlight w:val="white"/>
              </w:rPr>
            </w:pPr>
          </w:p>
        </w:tc>
      </w:tr>
    </w:tbl>
    <w:p w14:paraId="123DD3C7">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19"/>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30F3AD7A">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450" w:hRule="atLeast"/>
        </w:trPr>
        <w:tc>
          <w:tcPr>
            <w:tcW w:w="10155" w:type="dxa"/>
            <w:tcBorders>
              <w:top w:val="single" w:color="00000A" w:sz="4" w:space="0"/>
              <w:left w:val="single" w:color="00000A" w:sz="4" w:space="0"/>
              <w:bottom w:val="single" w:color="00000A" w:sz="4" w:space="0"/>
              <w:right w:val="single" w:color="00000A" w:sz="4" w:space="0"/>
            </w:tcBorders>
            <w:shd w:val="clear" w:color="auto" w:fill="1F3863"/>
          </w:tcPr>
          <w:p w14:paraId="68F242A5">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ESTIMATIVA DAS QUANTIDADES:</w:t>
            </w:r>
          </w:p>
        </w:tc>
      </w:tr>
      <w:tr w14:paraId="69426606">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037" w:hRule="atLeast"/>
        </w:trPr>
        <w:tc>
          <w:tcPr>
            <w:tcW w:w="10155" w:type="dxa"/>
            <w:tcBorders>
              <w:top w:val="single" w:color="00000A" w:sz="4" w:space="0"/>
              <w:left w:val="single" w:color="00000A" w:sz="4" w:space="0"/>
              <w:bottom w:val="single" w:color="00000A" w:sz="4" w:space="0"/>
              <w:right w:val="single" w:color="00000A" w:sz="4" w:space="0"/>
            </w:tcBorders>
            <w:shd w:val="clear" w:color="auto" w:fill="auto"/>
          </w:tcPr>
          <w:p w14:paraId="0F52ECA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rPr>
                <w:b/>
                <w:color w:val="000000"/>
                <w:sz w:val="23"/>
                <w:szCs w:val="23"/>
              </w:rPr>
            </w:pPr>
          </w:p>
          <w:tbl>
            <w:tblPr>
              <w:tblStyle w:val="20"/>
              <w:tblW w:w="9810" w:type="dxa"/>
              <w:tblInd w:w="0"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55" w:type="dxa"/>
                <w:left w:w="50" w:type="dxa"/>
                <w:bottom w:w="55" w:type="dxa"/>
                <w:right w:w="55" w:type="dxa"/>
              </w:tblCellMar>
            </w:tblPr>
            <w:tblGrid>
              <w:gridCol w:w="795"/>
              <w:gridCol w:w="225"/>
              <w:gridCol w:w="1135"/>
              <w:gridCol w:w="5373"/>
              <w:gridCol w:w="780"/>
              <w:gridCol w:w="1502"/>
            </w:tblGrid>
            <w:tr w14:paraId="7CDE917C">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735" w:hRule="atLeast"/>
              </w:trPr>
              <w:tc>
                <w:tcPr>
                  <w:tcW w:w="795" w:type="dxa"/>
                  <w:tcBorders>
                    <w:top w:val="single" w:color="000000" w:sz="4" w:space="0"/>
                    <w:left w:val="single" w:color="000000" w:sz="4" w:space="0"/>
                    <w:bottom w:val="single" w:color="000000" w:sz="4" w:space="0"/>
                  </w:tcBorders>
                  <w:shd w:val="clear" w:color="auto" w:fill="auto"/>
                  <w:vAlign w:val="center"/>
                </w:tcPr>
                <w:p w14:paraId="7B4C7EA7">
                  <w:pPr>
                    <w:widowControl w:val="0"/>
                    <w:pBdr>
                      <w:top w:val="none" w:color="auto" w:sz="0" w:space="0"/>
                      <w:left w:val="none" w:color="auto" w:sz="0" w:space="0"/>
                      <w:bottom w:val="none" w:color="auto" w:sz="0" w:space="0"/>
                      <w:right w:val="none" w:color="auto" w:sz="0" w:space="0"/>
                      <w:between w:val="none" w:color="auto" w:sz="0" w:space="0"/>
                    </w:pBdr>
                    <w:spacing w:line="360" w:lineRule="auto"/>
                    <w:jc w:val="center"/>
                    <w:rPr>
                      <w:b/>
                      <w:color w:val="000000"/>
                      <w:sz w:val="23"/>
                      <w:szCs w:val="23"/>
                    </w:rPr>
                  </w:pPr>
                  <w:r>
                    <w:rPr>
                      <w:b/>
                      <w:color w:val="000000"/>
                      <w:sz w:val="23"/>
                      <w:szCs w:val="23"/>
                    </w:rPr>
                    <w:t>ITEM</w:t>
                  </w:r>
                </w:p>
              </w:tc>
              <w:tc>
                <w:tcPr>
                  <w:tcW w:w="1360" w:type="dxa"/>
                  <w:gridSpan w:val="2"/>
                  <w:tcBorders>
                    <w:top w:val="single" w:color="000000" w:sz="4" w:space="0"/>
                    <w:left w:val="single" w:color="000000" w:sz="4" w:space="0"/>
                    <w:bottom w:val="single" w:color="000000" w:sz="4" w:space="0"/>
                  </w:tcBorders>
                  <w:shd w:val="clear" w:color="auto" w:fill="auto"/>
                  <w:vAlign w:val="center"/>
                </w:tcPr>
                <w:p w14:paraId="40A3C647">
                  <w:pPr>
                    <w:widowControl w:val="0"/>
                    <w:pBdr>
                      <w:top w:val="none" w:color="auto" w:sz="0" w:space="0"/>
                      <w:left w:val="none" w:color="auto" w:sz="0" w:space="0"/>
                      <w:bottom w:val="none" w:color="auto" w:sz="0" w:space="0"/>
                      <w:right w:val="none" w:color="auto" w:sz="0" w:space="0"/>
                      <w:between w:val="none" w:color="auto" w:sz="0" w:space="0"/>
                    </w:pBdr>
                    <w:jc w:val="center"/>
                    <w:rPr>
                      <w:b/>
                      <w:color w:val="000000"/>
                      <w:sz w:val="23"/>
                      <w:szCs w:val="23"/>
                    </w:rPr>
                  </w:pPr>
                  <w:r>
                    <w:rPr>
                      <w:b/>
                      <w:color w:val="000000"/>
                      <w:sz w:val="23"/>
                      <w:szCs w:val="23"/>
                    </w:rPr>
                    <w:t>CATSER</w:t>
                  </w:r>
                </w:p>
              </w:tc>
              <w:tc>
                <w:tcPr>
                  <w:tcW w:w="5373" w:type="dxa"/>
                  <w:tcBorders>
                    <w:top w:val="single" w:color="000000" w:sz="4" w:space="0"/>
                    <w:left w:val="single" w:color="000000" w:sz="4" w:space="0"/>
                    <w:bottom w:val="single" w:color="000000" w:sz="4" w:space="0"/>
                  </w:tcBorders>
                  <w:shd w:val="clear" w:color="auto" w:fill="auto"/>
                  <w:vAlign w:val="center"/>
                </w:tcPr>
                <w:p w14:paraId="65FA6423">
                  <w:pPr>
                    <w:widowControl w:val="0"/>
                    <w:jc w:val="center"/>
                    <w:rPr>
                      <w:b/>
                      <w:sz w:val="23"/>
                      <w:szCs w:val="23"/>
                    </w:rPr>
                  </w:pPr>
                  <w:r>
                    <w:rPr>
                      <w:b/>
                      <w:sz w:val="23"/>
                      <w:szCs w:val="23"/>
                    </w:rPr>
                    <w:t>DESCRIÇÃO DO SERVIÇO</w:t>
                  </w:r>
                </w:p>
              </w:tc>
              <w:tc>
                <w:tcPr>
                  <w:tcW w:w="780" w:type="dxa"/>
                  <w:tcBorders>
                    <w:top w:val="single" w:color="000000" w:sz="4" w:space="0"/>
                    <w:left w:val="single" w:color="000000" w:sz="4" w:space="0"/>
                    <w:bottom w:val="single" w:color="000000" w:sz="4" w:space="0"/>
                  </w:tcBorders>
                  <w:shd w:val="clear" w:color="auto" w:fill="auto"/>
                  <w:vAlign w:val="center"/>
                </w:tcPr>
                <w:p w14:paraId="51E08475">
                  <w:pPr>
                    <w:widowControl w:val="0"/>
                    <w:jc w:val="center"/>
                    <w:rPr>
                      <w:b/>
                      <w:sz w:val="23"/>
                      <w:szCs w:val="23"/>
                    </w:rPr>
                  </w:pPr>
                  <w:r>
                    <w:rPr>
                      <w:b/>
                      <w:sz w:val="23"/>
                      <w:szCs w:val="23"/>
                    </w:rPr>
                    <w:t>U/C</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64C01">
                  <w:pPr>
                    <w:widowControl w:val="0"/>
                    <w:ind w:left="57" w:right="454"/>
                    <w:jc w:val="center"/>
                    <w:rPr>
                      <w:b/>
                      <w:sz w:val="23"/>
                      <w:szCs w:val="23"/>
                    </w:rPr>
                  </w:pPr>
                  <w:r>
                    <w:rPr>
                      <w:b/>
                      <w:sz w:val="23"/>
                      <w:szCs w:val="23"/>
                    </w:rPr>
                    <w:t>QUANT.</w:t>
                  </w:r>
                </w:p>
              </w:tc>
            </w:tr>
            <w:tr w14:paraId="2F666F6A">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795" w:hRule="atLeast"/>
              </w:trPr>
              <w:tc>
                <w:tcPr>
                  <w:tcW w:w="9810" w:type="dxa"/>
                  <w:gridSpan w:val="6"/>
                  <w:tcBorders>
                    <w:left w:val="single" w:color="000000" w:sz="4" w:space="0"/>
                    <w:bottom w:val="single" w:color="000000" w:sz="4" w:space="0"/>
                    <w:right w:val="single" w:color="000000" w:sz="4" w:space="0"/>
                  </w:tcBorders>
                  <w:shd w:val="clear" w:color="auto" w:fill="auto"/>
                  <w:vAlign w:val="center"/>
                </w:tcPr>
                <w:p w14:paraId="01803B0F">
                  <w:pPr>
                    <w:widowControl w:val="0"/>
                    <w:rPr>
                      <w:b/>
                      <w:color w:val="000000"/>
                      <w:sz w:val="23"/>
                      <w:szCs w:val="23"/>
                    </w:rPr>
                  </w:pPr>
                  <w:r>
                    <w:rPr>
                      <w:b/>
                      <w:color w:val="000000"/>
                      <w:sz w:val="23"/>
                      <w:szCs w:val="23"/>
                    </w:rPr>
                    <w:t>Contratação de Empresa Especializada em Transporte de Pacientes da Rede Municipal de Saúde</w:t>
                  </w:r>
                </w:p>
              </w:tc>
            </w:tr>
            <w:tr w14:paraId="6566EDE0">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396" w:hRule="atLeast"/>
              </w:trPr>
              <w:tc>
                <w:tcPr>
                  <w:tcW w:w="9810" w:type="dxa"/>
                  <w:gridSpan w:val="6"/>
                  <w:tcBorders>
                    <w:top w:val="single" w:color="000000" w:sz="4" w:space="0"/>
                    <w:left w:val="single" w:color="000000" w:sz="4" w:space="0"/>
                    <w:bottom w:val="single" w:color="000000" w:sz="4" w:space="0"/>
                    <w:right w:val="single" w:color="000000" w:sz="4" w:space="0"/>
                  </w:tcBorders>
                  <w:shd w:val="clear" w:color="auto" w:fill="B2B2B2"/>
                  <w:vAlign w:val="center"/>
                </w:tcPr>
                <w:p w14:paraId="07CCFB7F">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center"/>
                    <w:rPr>
                      <w:b/>
                      <w:color w:val="000000"/>
                      <w:sz w:val="24"/>
                      <w:szCs w:val="24"/>
                    </w:rPr>
                  </w:pPr>
                  <w:r>
                    <w:rPr>
                      <w:b/>
                      <w:color w:val="000000"/>
                      <w:sz w:val="24"/>
                      <w:szCs w:val="24"/>
                    </w:rPr>
                    <w:t xml:space="preserve">LOTE 1 </w:t>
                  </w:r>
                </w:p>
                <w:p w14:paraId="5DD8E8C6">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center"/>
                    <w:rPr>
                      <w:b/>
                      <w:color w:val="000000"/>
                      <w:sz w:val="24"/>
                      <w:szCs w:val="24"/>
                    </w:rPr>
                  </w:pPr>
                  <w:r>
                    <w:rPr>
                      <w:b/>
                      <w:color w:val="000000"/>
                      <w:sz w:val="24"/>
                      <w:szCs w:val="24"/>
                    </w:rPr>
                    <w:t>TFD</w:t>
                  </w:r>
                </w:p>
              </w:tc>
            </w:tr>
            <w:tr w14:paraId="7CEE14C1">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2069" w:hRule="atLeast"/>
              </w:trPr>
              <w:tc>
                <w:tcPr>
                  <w:tcW w:w="1020" w:type="dxa"/>
                  <w:gridSpan w:val="2"/>
                  <w:tcBorders>
                    <w:top w:val="single" w:color="000000" w:sz="4" w:space="0"/>
                    <w:left w:val="single" w:color="000000" w:sz="4" w:space="0"/>
                    <w:bottom w:val="single" w:color="000000" w:sz="4" w:space="0"/>
                  </w:tcBorders>
                  <w:shd w:val="clear" w:color="auto" w:fill="auto"/>
                  <w:vAlign w:val="center"/>
                </w:tcPr>
                <w:p w14:paraId="38C088C9">
                  <w:pPr>
                    <w:widowControl w:val="0"/>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14:paraId="4D4C5BC3">
                  <w:pPr>
                    <w:widowControl w:val="0"/>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r>
                    <w:rPr>
                      <w:b/>
                      <w:color w:val="000000"/>
                      <w:sz w:val="24"/>
                      <w:szCs w:val="24"/>
                    </w:rPr>
                    <w:t>1</w:t>
                  </w:r>
                </w:p>
              </w:tc>
              <w:tc>
                <w:tcPr>
                  <w:tcW w:w="1135" w:type="dxa"/>
                  <w:tcBorders>
                    <w:top w:val="single" w:color="000000" w:sz="4" w:space="0"/>
                    <w:left w:val="single" w:color="000000" w:sz="4" w:space="0"/>
                    <w:bottom w:val="single" w:color="000000" w:sz="4" w:space="0"/>
                  </w:tcBorders>
                  <w:shd w:val="clear" w:color="auto" w:fill="auto"/>
                  <w:vAlign w:val="center"/>
                </w:tcPr>
                <w:p w14:paraId="05693264">
                  <w:pPr>
                    <w:jc w:val="both"/>
                    <w:rPr>
                      <w:b/>
                      <w:color w:val="000000"/>
                      <w:sz w:val="24"/>
                      <w:szCs w:val="24"/>
                    </w:rPr>
                  </w:pPr>
                </w:p>
                <w:p w14:paraId="2FBEE50B">
                  <w:pPr>
                    <w:jc w:val="both"/>
                    <w:rPr>
                      <w:b/>
                      <w:color w:val="000000"/>
                      <w:sz w:val="24"/>
                      <w:szCs w:val="24"/>
                    </w:rPr>
                  </w:pPr>
                  <w:r>
                    <w:rPr>
                      <w:b/>
                      <w:color w:val="000000"/>
                      <w:sz w:val="24"/>
                      <w:szCs w:val="24"/>
                    </w:rPr>
                    <w:t>25089</w:t>
                  </w:r>
                </w:p>
              </w:tc>
              <w:tc>
                <w:tcPr>
                  <w:tcW w:w="5373" w:type="dxa"/>
                  <w:tcBorders>
                    <w:top w:val="single" w:color="000000" w:sz="4" w:space="0"/>
                    <w:left w:val="single" w:color="000000" w:sz="4" w:space="0"/>
                    <w:bottom w:val="single" w:color="000000" w:sz="4" w:space="0"/>
                  </w:tcBorders>
                  <w:shd w:val="clear" w:color="auto" w:fill="auto"/>
                  <w:vAlign w:val="center"/>
                </w:tcPr>
                <w:p w14:paraId="4965B21C">
                  <w:pPr>
                    <w:jc w:val="both"/>
                  </w:pPr>
                  <w:r>
                    <w:rPr>
                      <w:color w:val="000000"/>
                      <w:sz w:val="24"/>
                      <w:szCs w:val="24"/>
                    </w:rPr>
                    <w:t>15 (quinze) Veículos, com ar condicionado, mínimo de 15 (quinze) lugares para passageiros, com até 03</w:t>
                  </w:r>
                  <w:r>
                    <w:rPr>
                      <w:b/>
                      <w:color w:val="000000"/>
                      <w:sz w:val="24"/>
                      <w:szCs w:val="24"/>
                    </w:rPr>
                    <w:t xml:space="preserve"> (três) anos</w:t>
                  </w:r>
                  <w:r>
                    <w:rPr>
                      <w:color w:val="000000"/>
                      <w:sz w:val="24"/>
                      <w:szCs w:val="24"/>
                    </w:rPr>
                    <w:t xml:space="preserve"> de fabricação, cinto de segurança em todos os assentos, motorista para lotação, rastreador, seguro de passageiros, pedágio e combustível.</w:t>
                  </w:r>
                </w:p>
              </w:tc>
              <w:tc>
                <w:tcPr>
                  <w:tcW w:w="780" w:type="dxa"/>
                  <w:tcBorders>
                    <w:top w:val="single" w:color="000000" w:sz="4" w:space="0"/>
                    <w:left w:val="single" w:color="000000" w:sz="4" w:space="0"/>
                    <w:bottom w:val="single" w:color="000000" w:sz="4" w:space="0"/>
                  </w:tcBorders>
                  <w:shd w:val="clear" w:color="auto" w:fill="auto"/>
                  <w:vAlign w:val="center"/>
                </w:tcPr>
                <w:p w14:paraId="5D6EB137">
                  <w:pPr>
                    <w:jc w:val="center"/>
                    <w:rPr>
                      <w:color w:val="000000"/>
                      <w:sz w:val="24"/>
                      <w:szCs w:val="24"/>
                    </w:rPr>
                  </w:pPr>
                </w:p>
                <w:p w14:paraId="7A916B09">
                  <w:pPr>
                    <w:jc w:val="center"/>
                    <w:rPr>
                      <w:color w:val="000000"/>
                      <w:sz w:val="24"/>
                      <w:szCs w:val="24"/>
                    </w:rPr>
                  </w:pPr>
                  <w:r>
                    <w:rPr>
                      <w:color w:val="000000"/>
                      <w:sz w:val="24"/>
                      <w:szCs w:val="24"/>
                    </w:rPr>
                    <w:t>Km</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333A">
                  <w:pPr>
                    <w:rPr>
                      <w:color w:val="000000"/>
                      <w:sz w:val="24"/>
                      <w:szCs w:val="24"/>
                    </w:rPr>
                  </w:pPr>
                  <w:r>
                    <w:rPr>
                      <w:sz w:val="24"/>
                      <w:szCs w:val="24"/>
                    </w:rPr>
                    <w:t>1.067.042,60</w:t>
                  </w:r>
                </w:p>
              </w:tc>
            </w:tr>
            <w:tr w14:paraId="69515198">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1995" w:hRule="atLeast"/>
              </w:trPr>
              <w:tc>
                <w:tcPr>
                  <w:tcW w:w="1020" w:type="dxa"/>
                  <w:gridSpan w:val="2"/>
                  <w:tcBorders>
                    <w:left w:val="single" w:color="000000" w:sz="4" w:space="0"/>
                    <w:bottom w:val="single" w:color="000000" w:sz="4" w:space="0"/>
                  </w:tcBorders>
                  <w:shd w:val="clear" w:color="auto" w:fill="auto"/>
                  <w:vAlign w:val="center"/>
                </w:tcPr>
                <w:p w14:paraId="549F2467">
                  <w:pPr>
                    <w:widowControl w:val="0"/>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r>
                    <w:rPr>
                      <w:b/>
                      <w:color w:val="000000"/>
                      <w:sz w:val="24"/>
                      <w:szCs w:val="24"/>
                    </w:rPr>
                    <w:t>2</w:t>
                  </w:r>
                </w:p>
              </w:tc>
              <w:tc>
                <w:tcPr>
                  <w:tcW w:w="1135" w:type="dxa"/>
                  <w:tcBorders>
                    <w:left w:val="single" w:color="000000" w:sz="4" w:space="0"/>
                    <w:bottom w:val="single" w:color="000000" w:sz="4" w:space="0"/>
                  </w:tcBorders>
                  <w:shd w:val="clear" w:color="auto" w:fill="auto"/>
                  <w:vAlign w:val="center"/>
                </w:tcPr>
                <w:p w14:paraId="784459A8">
                  <w:pPr>
                    <w:jc w:val="both"/>
                    <w:rPr>
                      <w:b/>
                      <w:color w:val="000000"/>
                      <w:sz w:val="24"/>
                      <w:szCs w:val="24"/>
                    </w:rPr>
                  </w:pPr>
                  <w:r>
                    <w:rPr>
                      <w:b/>
                      <w:color w:val="000000"/>
                      <w:sz w:val="24"/>
                      <w:szCs w:val="24"/>
                    </w:rPr>
                    <w:t>25089</w:t>
                  </w:r>
                </w:p>
              </w:tc>
              <w:tc>
                <w:tcPr>
                  <w:tcW w:w="5373" w:type="dxa"/>
                  <w:tcBorders>
                    <w:left w:val="single" w:color="000000" w:sz="4" w:space="0"/>
                    <w:bottom w:val="single" w:color="000000" w:sz="4" w:space="0"/>
                  </w:tcBorders>
                  <w:shd w:val="clear" w:color="auto" w:fill="auto"/>
                  <w:vAlign w:val="center"/>
                </w:tcPr>
                <w:p w14:paraId="713084DA">
                  <w:pPr>
                    <w:jc w:val="both"/>
                  </w:pPr>
                  <w:r>
                    <w:rPr>
                      <w:color w:val="000000"/>
                      <w:sz w:val="24"/>
                      <w:szCs w:val="24"/>
                    </w:rPr>
                    <w:t xml:space="preserve">02 (dois) Veículos, com ar condicionado, mínimo de 25 (vinte e cinco) lugares para passageiros, com até </w:t>
                  </w:r>
                  <w:r>
                    <w:rPr>
                      <w:b/>
                      <w:color w:val="000000"/>
                      <w:sz w:val="24"/>
                      <w:szCs w:val="24"/>
                    </w:rPr>
                    <w:t>15 (quinze) anos</w:t>
                  </w:r>
                  <w:r>
                    <w:rPr>
                      <w:color w:val="000000"/>
                      <w:sz w:val="24"/>
                      <w:szCs w:val="24"/>
                    </w:rPr>
                    <w:t xml:space="preserve"> de fabricação, cinto de segurança em todos os assentos, motorista para lotação, rastreador, seguro de passageiros, pedágio e combustível.</w:t>
                  </w:r>
                </w:p>
              </w:tc>
              <w:tc>
                <w:tcPr>
                  <w:tcW w:w="780" w:type="dxa"/>
                  <w:tcBorders>
                    <w:left w:val="single" w:color="000000" w:sz="4" w:space="0"/>
                    <w:bottom w:val="single" w:color="000000" w:sz="4" w:space="0"/>
                  </w:tcBorders>
                  <w:shd w:val="clear" w:color="auto" w:fill="auto"/>
                  <w:vAlign w:val="center"/>
                </w:tcPr>
                <w:p w14:paraId="6D65A517">
                  <w:pPr>
                    <w:jc w:val="center"/>
                    <w:rPr>
                      <w:color w:val="000000"/>
                      <w:sz w:val="24"/>
                      <w:szCs w:val="24"/>
                    </w:rPr>
                  </w:pPr>
                  <w:r>
                    <w:rPr>
                      <w:color w:val="000000"/>
                      <w:sz w:val="24"/>
                      <w:szCs w:val="24"/>
                    </w:rPr>
                    <w:t>Km</w:t>
                  </w:r>
                </w:p>
              </w:tc>
              <w:tc>
                <w:tcPr>
                  <w:tcW w:w="1502" w:type="dxa"/>
                  <w:tcBorders>
                    <w:left w:val="single" w:color="000000" w:sz="4" w:space="0"/>
                    <w:bottom w:val="single" w:color="000000" w:sz="4" w:space="0"/>
                    <w:right w:val="single" w:color="000000" w:sz="4" w:space="0"/>
                  </w:tcBorders>
                  <w:shd w:val="clear" w:color="auto" w:fill="auto"/>
                  <w:vAlign w:val="center"/>
                </w:tcPr>
                <w:p w14:paraId="6F7B53F8">
                  <w:pPr>
                    <w:rPr>
                      <w:color w:val="000000"/>
                      <w:sz w:val="24"/>
                      <w:szCs w:val="24"/>
                    </w:rPr>
                  </w:pPr>
                  <w:r>
                    <w:rPr>
                      <w:sz w:val="24"/>
                      <w:szCs w:val="24"/>
                    </w:rPr>
                    <w:t>25.334,40</w:t>
                  </w:r>
                </w:p>
              </w:tc>
            </w:tr>
            <w:tr w14:paraId="7CE8E65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2145" w:hRule="atLeast"/>
              </w:trPr>
              <w:tc>
                <w:tcPr>
                  <w:tcW w:w="1020" w:type="dxa"/>
                  <w:gridSpan w:val="2"/>
                  <w:tcBorders>
                    <w:top w:val="single" w:color="000000" w:sz="4" w:space="0"/>
                    <w:left w:val="single" w:color="000000" w:sz="4" w:space="0"/>
                    <w:bottom w:val="single" w:color="000000" w:sz="4" w:space="0"/>
                  </w:tcBorders>
                  <w:shd w:val="clear" w:color="auto" w:fill="auto"/>
                  <w:vAlign w:val="center"/>
                </w:tcPr>
                <w:p w14:paraId="6FB421D6">
                  <w:pPr>
                    <w:widowControl w:val="0"/>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r>
                    <w:rPr>
                      <w:b/>
                      <w:color w:val="000000"/>
                      <w:sz w:val="24"/>
                      <w:szCs w:val="24"/>
                    </w:rPr>
                    <w:t>3</w:t>
                  </w:r>
                </w:p>
              </w:tc>
              <w:tc>
                <w:tcPr>
                  <w:tcW w:w="1135" w:type="dxa"/>
                  <w:tcBorders>
                    <w:top w:val="single" w:color="000000" w:sz="4" w:space="0"/>
                    <w:left w:val="single" w:color="000000" w:sz="4" w:space="0"/>
                    <w:bottom w:val="single" w:color="000000" w:sz="4" w:space="0"/>
                  </w:tcBorders>
                  <w:shd w:val="clear" w:color="auto" w:fill="auto"/>
                  <w:vAlign w:val="center"/>
                </w:tcPr>
                <w:p w14:paraId="6C8304FA">
                  <w:pPr>
                    <w:jc w:val="both"/>
                    <w:rPr>
                      <w:b/>
                      <w:color w:val="000000"/>
                      <w:sz w:val="24"/>
                      <w:szCs w:val="24"/>
                    </w:rPr>
                  </w:pPr>
                  <w:r>
                    <w:rPr>
                      <w:b/>
                      <w:color w:val="000000"/>
                      <w:sz w:val="24"/>
                      <w:szCs w:val="24"/>
                    </w:rPr>
                    <w:t>25089</w:t>
                  </w:r>
                </w:p>
              </w:tc>
              <w:tc>
                <w:tcPr>
                  <w:tcW w:w="5373" w:type="dxa"/>
                  <w:tcBorders>
                    <w:top w:val="single" w:color="000000" w:sz="4" w:space="0"/>
                    <w:left w:val="single" w:color="000000" w:sz="4" w:space="0"/>
                    <w:bottom w:val="single" w:color="000000" w:sz="4" w:space="0"/>
                  </w:tcBorders>
                  <w:shd w:val="clear" w:color="auto" w:fill="auto"/>
                  <w:vAlign w:val="center"/>
                </w:tcPr>
                <w:p w14:paraId="7962DCEF">
                  <w:pPr>
                    <w:jc w:val="both"/>
                  </w:pPr>
                  <w:r>
                    <w:rPr>
                      <w:sz w:val="24"/>
                      <w:szCs w:val="24"/>
                    </w:rPr>
                    <w:t xml:space="preserve">03 (três) Veículos, </w:t>
                  </w:r>
                  <w:r>
                    <w:rPr>
                      <w:color w:val="000000"/>
                      <w:sz w:val="24"/>
                      <w:szCs w:val="24"/>
                    </w:rPr>
                    <w:t xml:space="preserve">com ar condicionado, mínimo de 7 (sete) lugares para passageiros, com até </w:t>
                  </w:r>
                  <w:r>
                    <w:rPr>
                      <w:b/>
                      <w:color w:val="000000"/>
                      <w:sz w:val="24"/>
                      <w:szCs w:val="24"/>
                    </w:rPr>
                    <w:t>5 (cinco) anos</w:t>
                  </w:r>
                  <w:r>
                    <w:rPr>
                      <w:color w:val="000000"/>
                      <w:sz w:val="24"/>
                      <w:szCs w:val="24"/>
                    </w:rPr>
                    <w:t xml:space="preserve"> de fabricação, cinto de segurança em todos os assentos, motorista para lotação, rastreador, seguro de passageiros, pedágio e combustível.</w:t>
                  </w:r>
                </w:p>
              </w:tc>
              <w:tc>
                <w:tcPr>
                  <w:tcW w:w="780" w:type="dxa"/>
                  <w:tcBorders>
                    <w:top w:val="single" w:color="000000" w:sz="4" w:space="0"/>
                    <w:left w:val="single" w:color="000000" w:sz="4" w:space="0"/>
                    <w:bottom w:val="single" w:color="000000" w:sz="4" w:space="0"/>
                  </w:tcBorders>
                  <w:shd w:val="clear" w:color="auto" w:fill="auto"/>
                  <w:vAlign w:val="center"/>
                </w:tcPr>
                <w:p w14:paraId="60C2AF3D">
                  <w:pPr>
                    <w:jc w:val="center"/>
                    <w:rPr>
                      <w:color w:val="000000"/>
                      <w:sz w:val="24"/>
                      <w:szCs w:val="24"/>
                    </w:rPr>
                  </w:pPr>
                  <w:r>
                    <w:rPr>
                      <w:color w:val="000000"/>
                      <w:sz w:val="24"/>
                      <w:szCs w:val="24"/>
                    </w:rPr>
                    <w:t>km</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99F16">
                  <w:pPr>
                    <w:rPr>
                      <w:color w:val="000000"/>
                      <w:sz w:val="24"/>
                      <w:szCs w:val="24"/>
                    </w:rPr>
                  </w:pPr>
                  <w:r>
                    <w:rPr>
                      <w:sz w:val="24"/>
                      <w:szCs w:val="24"/>
                    </w:rPr>
                    <w:t>112.673,60</w:t>
                  </w:r>
                </w:p>
              </w:tc>
            </w:tr>
            <w:tr w14:paraId="335BB8F1">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671" w:hRule="atLeast"/>
              </w:trPr>
              <w:tc>
                <w:tcPr>
                  <w:tcW w:w="9810" w:type="dxa"/>
                  <w:gridSpan w:val="6"/>
                  <w:tcBorders>
                    <w:top w:val="single" w:color="000000" w:sz="4" w:space="0"/>
                    <w:left w:val="single" w:color="000000" w:sz="4" w:space="0"/>
                    <w:bottom w:val="single" w:color="000000" w:sz="4" w:space="0"/>
                    <w:right w:val="single" w:color="000000" w:sz="4" w:space="0"/>
                  </w:tcBorders>
                  <w:shd w:val="clear" w:color="auto" w:fill="B2B2B2"/>
                  <w:vAlign w:val="center"/>
                </w:tcPr>
                <w:p w14:paraId="0DDA2952">
                  <w:pPr>
                    <w:widowControl w:val="0"/>
                    <w:pBdr>
                      <w:top w:val="none" w:color="auto" w:sz="0" w:space="0"/>
                      <w:left w:val="none" w:color="auto" w:sz="0" w:space="0"/>
                      <w:bottom w:val="none" w:color="auto" w:sz="0" w:space="0"/>
                      <w:right w:val="none" w:color="auto" w:sz="0" w:space="0"/>
                      <w:between w:val="none" w:color="auto" w:sz="0" w:space="0"/>
                    </w:pBdr>
                    <w:spacing w:after="0"/>
                    <w:jc w:val="center"/>
                    <w:rPr>
                      <w:b/>
                      <w:color w:val="000000"/>
                      <w:sz w:val="24"/>
                      <w:szCs w:val="24"/>
                    </w:rPr>
                  </w:pPr>
                  <w:r>
                    <w:rPr>
                      <w:b/>
                      <w:color w:val="000000"/>
                      <w:sz w:val="24"/>
                      <w:szCs w:val="24"/>
                    </w:rPr>
                    <w:t>LOTE 2</w:t>
                  </w:r>
                </w:p>
                <w:p w14:paraId="056FF6CD">
                  <w:pPr>
                    <w:widowControl w:val="0"/>
                    <w:pBdr>
                      <w:top w:val="none" w:color="auto" w:sz="0" w:space="0"/>
                      <w:left w:val="none" w:color="auto" w:sz="0" w:space="0"/>
                      <w:bottom w:val="none" w:color="auto" w:sz="0" w:space="0"/>
                      <w:right w:val="none" w:color="auto" w:sz="0" w:space="0"/>
                      <w:between w:val="none" w:color="auto" w:sz="0" w:space="0"/>
                    </w:pBdr>
                    <w:shd w:val="clear" w:color="auto" w:fill="B2B2B2"/>
                    <w:spacing w:after="0"/>
                    <w:jc w:val="center"/>
                    <w:rPr>
                      <w:b/>
                      <w:color w:val="000000"/>
                      <w:sz w:val="24"/>
                      <w:szCs w:val="24"/>
                      <w:highlight w:val="lightGray"/>
                    </w:rPr>
                  </w:pPr>
                  <w:r>
                    <w:rPr>
                      <w:b/>
                      <w:color w:val="000000"/>
                      <w:sz w:val="24"/>
                      <w:szCs w:val="24"/>
                      <w:highlight w:val="lightGray"/>
                    </w:rPr>
                    <w:t>SAÚDE AUDITIVA</w:t>
                  </w:r>
                </w:p>
              </w:tc>
            </w:tr>
            <w:tr w14:paraId="396365CC">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2781" w:hRule="atLeast"/>
              </w:trPr>
              <w:tc>
                <w:tcPr>
                  <w:tcW w:w="1020" w:type="dxa"/>
                  <w:gridSpan w:val="2"/>
                  <w:tcBorders>
                    <w:top w:val="single" w:color="000000" w:sz="4" w:space="0"/>
                    <w:left w:val="single" w:color="000000" w:sz="4" w:space="0"/>
                    <w:bottom w:val="single" w:color="000000" w:sz="4" w:space="0"/>
                  </w:tcBorders>
                  <w:shd w:val="clear" w:color="auto" w:fill="auto"/>
                  <w:vAlign w:val="center"/>
                </w:tcPr>
                <w:p w14:paraId="60D2BE4E">
                  <w:pPr>
                    <w:jc w:val="center"/>
                    <w:rPr>
                      <w:b/>
                      <w:color w:val="000000"/>
                      <w:sz w:val="24"/>
                      <w:szCs w:val="24"/>
                    </w:rPr>
                  </w:pPr>
                  <w:r>
                    <w:rPr>
                      <w:b/>
                      <w:color w:val="000000"/>
                      <w:sz w:val="24"/>
                      <w:szCs w:val="24"/>
                    </w:rPr>
                    <w:t>4</w:t>
                  </w:r>
                </w:p>
              </w:tc>
              <w:tc>
                <w:tcPr>
                  <w:tcW w:w="1135" w:type="dxa"/>
                  <w:tcBorders>
                    <w:top w:val="single" w:color="000000" w:sz="4" w:space="0"/>
                    <w:left w:val="single" w:color="000000" w:sz="4" w:space="0"/>
                    <w:bottom w:val="single" w:color="000000" w:sz="4" w:space="0"/>
                  </w:tcBorders>
                  <w:shd w:val="clear" w:color="auto" w:fill="auto"/>
                  <w:vAlign w:val="center"/>
                </w:tcPr>
                <w:p w14:paraId="0FDB9E7D">
                  <w:pPr>
                    <w:jc w:val="center"/>
                    <w:rPr>
                      <w:b/>
                      <w:color w:val="000000"/>
                      <w:sz w:val="24"/>
                      <w:szCs w:val="24"/>
                    </w:rPr>
                  </w:pPr>
                  <w:r>
                    <w:rPr>
                      <w:b/>
                      <w:color w:val="000000"/>
                      <w:sz w:val="24"/>
                      <w:szCs w:val="24"/>
                    </w:rPr>
                    <w:t>25089</w:t>
                  </w:r>
                </w:p>
              </w:tc>
              <w:tc>
                <w:tcPr>
                  <w:tcW w:w="5373" w:type="dxa"/>
                  <w:tcBorders>
                    <w:top w:val="single" w:color="000000" w:sz="4" w:space="0"/>
                    <w:left w:val="single" w:color="000000" w:sz="4" w:space="0"/>
                    <w:bottom w:val="single" w:color="000000" w:sz="4" w:space="0"/>
                  </w:tcBorders>
                  <w:shd w:val="clear" w:color="auto" w:fill="auto"/>
                  <w:vAlign w:val="center"/>
                </w:tcPr>
                <w:p w14:paraId="1BC5FA53">
                  <w:pPr>
                    <w:jc w:val="both"/>
                  </w:pPr>
                  <w:r>
                    <w:rPr>
                      <w:color w:val="000000"/>
                      <w:sz w:val="24"/>
                      <w:szCs w:val="24"/>
                    </w:rPr>
                    <w:t xml:space="preserve">01 (um) Veículo para transporte de passageiros, em boas condições de conservação, com ar condicionado, mínimo de 22 (vinte e dois) lugares para passageiros, com até </w:t>
                  </w:r>
                  <w:r>
                    <w:rPr>
                      <w:b/>
                      <w:color w:val="000000"/>
                      <w:sz w:val="24"/>
                      <w:szCs w:val="24"/>
                    </w:rPr>
                    <w:t>15 (quinze) anos</w:t>
                  </w:r>
                  <w:r>
                    <w:rPr>
                      <w:color w:val="000000"/>
                      <w:sz w:val="24"/>
                      <w:szCs w:val="24"/>
                    </w:rPr>
                    <w:t xml:space="preserve"> de fabricação, cadeira reclinável, cinto de segurança em todos os assentos, motorista para lotação, e acessibilidade para deficiente físico, caso seja necessário, pedágio e combustível.</w:t>
                  </w:r>
                </w:p>
              </w:tc>
              <w:tc>
                <w:tcPr>
                  <w:tcW w:w="780" w:type="dxa"/>
                  <w:tcBorders>
                    <w:top w:val="single" w:color="000000" w:sz="4" w:space="0"/>
                    <w:left w:val="single" w:color="000000" w:sz="4" w:space="0"/>
                    <w:bottom w:val="single" w:color="000000" w:sz="4" w:space="0"/>
                  </w:tcBorders>
                  <w:shd w:val="clear" w:color="auto" w:fill="auto"/>
                  <w:vAlign w:val="center"/>
                </w:tcPr>
                <w:p w14:paraId="15210B36">
                  <w:pPr>
                    <w:jc w:val="center"/>
                    <w:rPr>
                      <w:color w:val="000000"/>
                      <w:sz w:val="24"/>
                      <w:szCs w:val="24"/>
                    </w:rPr>
                  </w:pPr>
                  <w:r>
                    <w:rPr>
                      <w:color w:val="000000"/>
                      <w:sz w:val="24"/>
                      <w:szCs w:val="24"/>
                    </w:rPr>
                    <w:t>Km</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CDEA">
                  <w:pPr>
                    <w:rPr>
                      <w:color w:val="000000"/>
                      <w:sz w:val="24"/>
                      <w:szCs w:val="24"/>
                    </w:rPr>
                  </w:pPr>
                  <w:r>
                    <w:rPr>
                      <w:sz w:val="24"/>
                      <w:szCs w:val="24"/>
                    </w:rPr>
                    <w:t>54.206</w:t>
                  </w:r>
                </w:p>
              </w:tc>
            </w:tr>
          </w:tbl>
          <w:p w14:paraId="35450A24">
            <w:pPr>
              <w:widowControl w:val="0"/>
              <w:tabs>
                <w:tab w:val="left" w:pos="450"/>
              </w:tabs>
              <w:spacing w:after="0" w:line="276" w:lineRule="auto"/>
              <w:jc w:val="both"/>
              <w:rPr>
                <w:sz w:val="23"/>
                <w:szCs w:val="23"/>
              </w:rPr>
            </w:pPr>
            <w:r>
              <w:rPr>
                <w:sz w:val="23"/>
                <w:szCs w:val="23"/>
              </w:rPr>
              <w:t>O quantitativo acima foi baseado na requisição elaborada pelas  Unidades de Saúde que serão contempladas com o objeto do presente processo.</w:t>
            </w:r>
          </w:p>
          <w:p w14:paraId="34A2E869">
            <w:pPr>
              <w:widowControl w:val="0"/>
              <w:tabs>
                <w:tab w:val="left" w:pos="450"/>
              </w:tabs>
              <w:spacing w:after="0" w:line="276" w:lineRule="auto"/>
              <w:jc w:val="both"/>
              <w:rPr>
                <w:color w:val="000000"/>
                <w:sz w:val="23"/>
                <w:szCs w:val="23"/>
              </w:rPr>
            </w:pPr>
          </w:p>
          <w:p w14:paraId="68BADC1C">
            <w:pPr>
              <w:widowControl w:val="0"/>
              <w:tabs>
                <w:tab w:val="left" w:pos="450"/>
              </w:tabs>
              <w:spacing w:after="0" w:line="276" w:lineRule="auto"/>
              <w:jc w:val="both"/>
              <w:rPr>
                <w:sz w:val="23"/>
                <w:szCs w:val="23"/>
              </w:rPr>
            </w:pPr>
            <w:r>
              <w:rPr>
                <w:sz w:val="23"/>
                <w:szCs w:val="23"/>
              </w:rPr>
              <w:t>Coord. de Saúde Auditiva:</w:t>
            </w:r>
          </w:p>
          <w:p w14:paraId="639B0173">
            <w:pPr>
              <w:widowControl w:val="0"/>
              <w:tabs>
                <w:tab w:val="left" w:pos="450"/>
              </w:tabs>
              <w:spacing w:after="0" w:line="276" w:lineRule="auto"/>
              <w:jc w:val="both"/>
              <w:rPr>
                <w:sz w:val="23"/>
                <w:szCs w:val="23"/>
              </w:rPr>
            </w:pPr>
          </w:p>
          <w:p w14:paraId="4C938C77">
            <w:pPr>
              <w:widowControl w:val="0"/>
              <w:tabs>
                <w:tab w:val="left" w:pos="450"/>
              </w:tabs>
              <w:spacing w:after="0" w:line="276" w:lineRule="auto"/>
              <w:jc w:val="both"/>
              <w:rPr>
                <w:sz w:val="23"/>
                <w:szCs w:val="23"/>
              </w:rPr>
            </w:pPr>
            <w:r>
              <w:rPr>
                <w:sz w:val="23"/>
                <w:szCs w:val="23"/>
              </w:rPr>
              <w:t xml:space="preserve">Os pacientes do município de Nova Friburgo acompanhados pelo programa seguem um protocolo estabelecido, no qual são devidamente orientados quanto ao atendimento no referido instituto. O CENOM é responsável pela avaliação, protetização (quando indicada) e acompanhamento continuado dos pacientes, assegurando a integralidade da assistência. </w:t>
            </w:r>
          </w:p>
          <w:p w14:paraId="53809C74">
            <w:pPr>
              <w:widowControl w:val="0"/>
              <w:tabs>
                <w:tab w:val="left" w:pos="450"/>
              </w:tabs>
              <w:spacing w:after="0" w:line="276" w:lineRule="auto"/>
              <w:jc w:val="both"/>
              <w:rPr>
                <w:sz w:val="23"/>
                <w:szCs w:val="23"/>
              </w:rPr>
            </w:pPr>
          </w:p>
          <w:p w14:paraId="07FEE536">
            <w:pPr>
              <w:widowControl w:val="0"/>
              <w:tabs>
                <w:tab w:val="left" w:pos="450"/>
              </w:tabs>
              <w:spacing w:after="0" w:line="276" w:lineRule="auto"/>
              <w:jc w:val="both"/>
              <w:rPr>
                <w:sz w:val="23"/>
                <w:szCs w:val="23"/>
              </w:rPr>
            </w:pPr>
            <w:r>
              <w:rPr>
                <w:sz w:val="23"/>
                <w:szCs w:val="23"/>
              </w:rPr>
              <w:t xml:space="preserve">Atualmente, o deslocamento dos pacientes é realizado por transporte coletivo, com saída de Nova Friburgo às 7h da manhã, podendo o horário sofrer alterações conforme a programação do CENOM. </w:t>
            </w:r>
          </w:p>
          <w:p w14:paraId="58ABFEA4">
            <w:pPr>
              <w:widowControl w:val="0"/>
              <w:tabs>
                <w:tab w:val="left" w:pos="450"/>
              </w:tabs>
              <w:spacing w:after="0" w:line="276" w:lineRule="auto"/>
              <w:jc w:val="both"/>
              <w:rPr>
                <w:sz w:val="23"/>
                <w:szCs w:val="23"/>
              </w:rPr>
            </w:pPr>
          </w:p>
          <w:p w14:paraId="5954B1FE">
            <w:pPr>
              <w:widowControl w:val="0"/>
              <w:tabs>
                <w:tab w:val="left" w:pos="450"/>
              </w:tabs>
              <w:spacing w:after="0" w:line="276" w:lineRule="auto"/>
              <w:jc w:val="both"/>
              <w:rPr>
                <w:sz w:val="23"/>
                <w:szCs w:val="23"/>
              </w:rPr>
            </w:pPr>
            <w:r>
              <w:rPr>
                <w:sz w:val="23"/>
                <w:szCs w:val="23"/>
              </w:rPr>
              <w:t xml:space="preserve">Para o adequado atendimento durante o transporte, é imprescindível que: </w:t>
            </w:r>
          </w:p>
          <w:p w14:paraId="213D4401">
            <w:pPr>
              <w:widowControl w:val="0"/>
              <w:tabs>
                <w:tab w:val="left" w:pos="450"/>
              </w:tabs>
              <w:spacing w:after="0" w:line="276" w:lineRule="auto"/>
              <w:jc w:val="both"/>
              <w:rPr>
                <w:sz w:val="23"/>
                <w:szCs w:val="23"/>
              </w:rPr>
            </w:pPr>
            <w:r>
              <w:rPr>
                <w:sz w:val="23"/>
                <w:szCs w:val="23"/>
              </w:rPr>
              <w:t xml:space="preserve">• Cada paciente esteja acompanhado por um responsável; </w:t>
            </w:r>
          </w:p>
          <w:p w14:paraId="46668EF6">
            <w:pPr>
              <w:widowControl w:val="0"/>
              <w:tabs>
                <w:tab w:val="left" w:pos="450"/>
              </w:tabs>
              <w:spacing w:after="0" w:line="276" w:lineRule="auto"/>
              <w:jc w:val="both"/>
              <w:rPr>
                <w:sz w:val="23"/>
                <w:szCs w:val="23"/>
              </w:rPr>
            </w:pPr>
            <w:r>
              <w:rPr>
                <w:sz w:val="23"/>
                <w:szCs w:val="23"/>
              </w:rPr>
              <w:t xml:space="preserve">• O motorista designado possua experiência prévia no trajeto até o CENOM – Natividade; </w:t>
            </w:r>
          </w:p>
          <w:p w14:paraId="678760D6">
            <w:pPr>
              <w:widowControl w:val="0"/>
              <w:tabs>
                <w:tab w:val="left" w:pos="450"/>
              </w:tabs>
              <w:spacing w:after="0" w:line="276" w:lineRule="auto"/>
              <w:jc w:val="both"/>
              <w:rPr>
                <w:sz w:val="23"/>
                <w:szCs w:val="23"/>
              </w:rPr>
            </w:pPr>
            <w:r>
              <w:rPr>
                <w:sz w:val="23"/>
                <w:szCs w:val="23"/>
              </w:rPr>
              <w:t>• O profissional motorista demonstre afinidade e sensibilidade no trato com idosos e crianças, públicos predominantes do programa.</w:t>
            </w:r>
          </w:p>
          <w:p w14:paraId="4F9ADA0B">
            <w:pPr>
              <w:widowControl w:val="0"/>
              <w:tabs>
                <w:tab w:val="left" w:pos="450"/>
              </w:tabs>
              <w:spacing w:after="0" w:line="276" w:lineRule="auto"/>
              <w:jc w:val="both"/>
              <w:rPr>
                <w:sz w:val="23"/>
                <w:szCs w:val="23"/>
              </w:rPr>
            </w:pPr>
          </w:p>
          <w:p w14:paraId="02ABABD8">
            <w:pPr>
              <w:widowControl w:val="0"/>
              <w:tabs>
                <w:tab w:val="left" w:pos="450"/>
              </w:tabs>
              <w:spacing w:after="0" w:line="276" w:lineRule="auto"/>
              <w:jc w:val="both"/>
              <w:rPr>
                <w:sz w:val="23"/>
                <w:szCs w:val="23"/>
              </w:rPr>
            </w:pPr>
            <w:r>
              <w:rPr>
                <w:sz w:val="23"/>
                <w:szCs w:val="23"/>
              </w:rPr>
              <w:t xml:space="preserve">Ressalta-se que o Programa de Saúde Auditiva de Nova Friburgo possui mais de 3.000 pacientes cadastrados, conforme dados atualizados até o final do ano de 2024. </w:t>
            </w:r>
          </w:p>
          <w:p w14:paraId="0EEC3AC3">
            <w:pPr>
              <w:widowControl w:val="0"/>
              <w:tabs>
                <w:tab w:val="left" w:pos="450"/>
              </w:tabs>
              <w:spacing w:after="0" w:line="276" w:lineRule="auto"/>
              <w:jc w:val="both"/>
              <w:rPr>
                <w:sz w:val="23"/>
                <w:szCs w:val="23"/>
              </w:rPr>
            </w:pPr>
          </w:p>
          <w:p w14:paraId="179714A6">
            <w:pPr>
              <w:widowControl w:val="0"/>
              <w:tabs>
                <w:tab w:val="left" w:pos="450"/>
              </w:tabs>
              <w:spacing w:after="0" w:line="276" w:lineRule="auto"/>
              <w:jc w:val="both"/>
              <w:rPr>
                <w:sz w:val="23"/>
                <w:szCs w:val="23"/>
              </w:rPr>
            </w:pPr>
            <w:r>
              <w:rPr>
                <w:sz w:val="23"/>
                <w:szCs w:val="23"/>
              </w:rPr>
              <w:t xml:space="preserve">Com base nas informações de quilometragem histórica fornecidas pela empresa anteriormente responsável pelo transporte, foi possível observar redução no número de viagens em virtude da ampliação da área de cobertura do CENOM, que passou a atender um maior número de municípios desde 2022. </w:t>
            </w:r>
          </w:p>
          <w:p w14:paraId="19FFEB90">
            <w:pPr>
              <w:widowControl w:val="0"/>
              <w:tabs>
                <w:tab w:val="left" w:pos="450"/>
              </w:tabs>
              <w:spacing w:after="0" w:line="276" w:lineRule="auto"/>
              <w:jc w:val="both"/>
              <w:rPr>
                <w:sz w:val="23"/>
                <w:szCs w:val="23"/>
              </w:rPr>
            </w:pPr>
          </w:p>
          <w:p w14:paraId="09FCC331">
            <w:pPr>
              <w:widowControl w:val="0"/>
              <w:tabs>
                <w:tab w:val="left" w:pos="450"/>
              </w:tabs>
              <w:spacing w:after="0" w:line="276" w:lineRule="auto"/>
              <w:jc w:val="both"/>
              <w:rPr>
                <w:sz w:val="23"/>
                <w:szCs w:val="23"/>
              </w:rPr>
            </w:pPr>
            <w:r>
              <w:rPr>
                <w:sz w:val="23"/>
                <w:szCs w:val="23"/>
              </w:rPr>
              <w:t xml:space="preserve">Os registros de quilometragem são os seguintes: </w:t>
            </w:r>
          </w:p>
          <w:p w14:paraId="40D8D40A">
            <w:pPr>
              <w:widowControl w:val="0"/>
              <w:tabs>
                <w:tab w:val="left" w:pos="450"/>
              </w:tabs>
              <w:spacing w:after="0" w:line="276" w:lineRule="auto"/>
              <w:jc w:val="both"/>
              <w:rPr>
                <w:sz w:val="23"/>
                <w:szCs w:val="23"/>
              </w:rPr>
            </w:pPr>
            <w:r>
              <w:rPr>
                <w:sz w:val="23"/>
                <w:szCs w:val="23"/>
              </w:rPr>
              <w:t xml:space="preserve">• 2022: 73.746 km </w:t>
            </w:r>
          </w:p>
          <w:p w14:paraId="594B6809">
            <w:pPr>
              <w:widowControl w:val="0"/>
              <w:tabs>
                <w:tab w:val="left" w:pos="450"/>
              </w:tabs>
              <w:spacing w:after="0" w:line="276" w:lineRule="auto"/>
              <w:jc w:val="both"/>
              <w:rPr>
                <w:sz w:val="23"/>
                <w:szCs w:val="23"/>
              </w:rPr>
            </w:pPr>
            <w:r>
              <w:rPr>
                <w:sz w:val="23"/>
                <w:szCs w:val="23"/>
              </w:rPr>
              <w:t xml:space="preserve">• 2023: 27.808 km </w:t>
            </w:r>
          </w:p>
          <w:p w14:paraId="3CE30A65">
            <w:pPr>
              <w:widowControl w:val="0"/>
              <w:tabs>
                <w:tab w:val="left" w:pos="450"/>
              </w:tabs>
              <w:spacing w:after="0" w:line="276" w:lineRule="auto"/>
              <w:jc w:val="both"/>
              <w:rPr>
                <w:sz w:val="23"/>
                <w:szCs w:val="23"/>
              </w:rPr>
            </w:pPr>
            <w:r>
              <w:rPr>
                <w:sz w:val="23"/>
                <w:szCs w:val="23"/>
              </w:rPr>
              <w:t xml:space="preserve">• 2024: 24.970 km </w:t>
            </w:r>
          </w:p>
          <w:p w14:paraId="6D129875">
            <w:pPr>
              <w:widowControl w:val="0"/>
              <w:tabs>
                <w:tab w:val="left" w:pos="450"/>
              </w:tabs>
              <w:spacing w:after="0" w:line="276" w:lineRule="auto"/>
              <w:jc w:val="both"/>
              <w:rPr>
                <w:sz w:val="23"/>
                <w:szCs w:val="23"/>
              </w:rPr>
            </w:pPr>
            <w:r>
              <w:rPr>
                <w:sz w:val="23"/>
                <w:szCs w:val="23"/>
              </w:rPr>
              <w:t xml:space="preserve">Esses valores resultam em uma média anual de 41.696 km rodados. Contudo, considerando as constantes modificações na dinâmica de atendimento do instituto e a impossibilidade de previsão exata do quantitativo mensal de viagens, torna-se necessária a adoção de uma margem de segurança de 30%, totalizando 54.206 km para serem utilizados. </w:t>
            </w:r>
          </w:p>
          <w:p w14:paraId="7D6FC38D">
            <w:pPr>
              <w:widowControl w:val="0"/>
              <w:tabs>
                <w:tab w:val="left" w:pos="450"/>
              </w:tabs>
              <w:spacing w:after="0" w:line="276" w:lineRule="auto"/>
              <w:jc w:val="both"/>
              <w:rPr>
                <w:sz w:val="23"/>
                <w:szCs w:val="23"/>
              </w:rPr>
            </w:pPr>
          </w:p>
          <w:p w14:paraId="43ADEC96">
            <w:pPr>
              <w:widowControl w:val="0"/>
              <w:tabs>
                <w:tab w:val="left" w:pos="450"/>
              </w:tabs>
              <w:spacing w:after="0" w:line="276" w:lineRule="auto"/>
              <w:jc w:val="both"/>
              <w:rPr>
                <w:sz w:val="23"/>
                <w:szCs w:val="23"/>
              </w:rPr>
            </w:pPr>
            <w:r>
              <w:rPr>
                <w:sz w:val="23"/>
                <w:szCs w:val="23"/>
              </w:rPr>
              <w:t>Essa medida visa assegurar a continuidade e a eficiência do transporte dos pacientes do Programa de Saúde Auditiva, evitando desassistência e garantindo a manutenção do acesso ao tratamento especializado oferecido pelo CENOM – Natividade</w:t>
            </w:r>
          </w:p>
          <w:p w14:paraId="025A13C8">
            <w:pPr>
              <w:widowControl w:val="0"/>
              <w:tabs>
                <w:tab w:val="left" w:pos="450"/>
              </w:tabs>
              <w:spacing w:after="0" w:line="276" w:lineRule="auto"/>
              <w:jc w:val="both"/>
              <w:rPr>
                <w:sz w:val="23"/>
                <w:szCs w:val="23"/>
              </w:rPr>
            </w:pPr>
          </w:p>
          <w:p w14:paraId="54B5989A">
            <w:pPr>
              <w:widowControl w:val="0"/>
              <w:tabs>
                <w:tab w:val="left" w:pos="450"/>
              </w:tabs>
              <w:spacing w:after="0" w:line="276" w:lineRule="auto"/>
              <w:jc w:val="both"/>
              <w:rPr>
                <w:sz w:val="23"/>
                <w:szCs w:val="23"/>
              </w:rPr>
            </w:pPr>
            <w:r>
              <w:rPr>
                <w:sz w:val="23"/>
                <w:szCs w:val="23"/>
              </w:rPr>
              <w:t>Central de Regulação:</w:t>
            </w:r>
          </w:p>
          <w:p w14:paraId="55AC2795">
            <w:pPr>
              <w:widowControl w:val="0"/>
              <w:tabs>
                <w:tab w:val="left" w:pos="450"/>
              </w:tabs>
              <w:spacing w:after="0" w:line="276" w:lineRule="auto"/>
              <w:jc w:val="both"/>
              <w:rPr>
                <w:sz w:val="23"/>
                <w:szCs w:val="23"/>
              </w:rPr>
            </w:pPr>
          </w:p>
          <w:p w14:paraId="48777597">
            <w:pPr>
              <w:widowControl w:val="0"/>
              <w:tabs>
                <w:tab w:val="left" w:pos="450"/>
              </w:tabs>
              <w:spacing w:after="0" w:line="276" w:lineRule="auto"/>
              <w:jc w:val="both"/>
              <w:rPr>
                <w:sz w:val="20"/>
                <w:szCs w:val="20"/>
              </w:rPr>
            </w:pPr>
            <w:r>
              <w:rPr>
                <w:sz w:val="20"/>
                <w:szCs w:val="20"/>
              </w:rPr>
              <w:t xml:space="preserve">A justificativa do aumento da solicitação do transporte é devido a grande demanda de pacientes encaminhados para cadastro em Tratamento Fora Domicílio - TFD, conforme quadro abaixo, </w:t>
            </w:r>
            <w:r>
              <w:rPr>
                <w:b/>
                <w:sz w:val="20"/>
                <w:szCs w:val="20"/>
              </w:rPr>
              <w:t>assim como o retorno desses pacientes aos hospitais de referência para continuidade do tratamento</w:t>
            </w:r>
            <w:r>
              <w:rPr>
                <w:sz w:val="20"/>
                <w:szCs w:val="20"/>
              </w:rPr>
              <w:t>, ocasionando fila de espera em alguns dias da semana onde muitas vezes o paciente não consegue vaga para transporte que acaba perdendo a consulta e retornando para a fila da regulação estadual.</w:t>
            </w:r>
          </w:p>
          <w:p w14:paraId="29E7025D">
            <w:pPr>
              <w:widowControl w:val="0"/>
              <w:tabs>
                <w:tab w:val="left" w:pos="450"/>
              </w:tabs>
              <w:spacing w:after="0" w:line="276" w:lineRule="auto"/>
              <w:jc w:val="both"/>
              <w:rPr>
                <w:sz w:val="20"/>
                <w:szCs w:val="20"/>
              </w:rPr>
            </w:pPr>
          </w:p>
          <w:tbl>
            <w:tblPr>
              <w:tblStyle w:val="21"/>
              <w:tblW w:w="39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00" w:type="dxa"/>
                <w:left w:w="100" w:type="dxa"/>
                <w:bottom w:w="100" w:type="dxa"/>
                <w:right w:w="100" w:type="dxa"/>
              </w:tblCellMar>
            </w:tblPr>
            <w:tblGrid>
              <w:gridCol w:w="2025"/>
              <w:gridCol w:w="1890"/>
            </w:tblGrid>
            <w:tr w14:paraId="0D911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975" w:hRule="atLeast"/>
              </w:trPr>
              <w:tc>
                <w:tcPr>
                  <w:tcW w:w="3915" w:type="dxa"/>
                  <w:gridSpan w:val="2"/>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E5281D4">
                  <w:pPr>
                    <w:widowControl w:val="0"/>
                    <w:tabs>
                      <w:tab w:val="left" w:pos="450"/>
                    </w:tabs>
                    <w:spacing w:before="240" w:after="0" w:line="276" w:lineRule="auto"/>
                    <w:ind w:left="140" w:right="140"/>
                    <w:jc w:val="center"/>
                    <w:rPr>
                      <w:b/>
                      <w:sz w:val="20"/>
                      <w:szCs w:val="20"/>
                    </w:rPr>
                  </w:pPr>
                  <w:r>
                    <w:rPr>
                      <w:b/>
                      <w:sz w:val="20"/>
                      <w:szCs w:val="20"/>
                    </w:rPr>
                    <w:t>CADASTRO DE PACIENTES</w:t>
                  </w:r>
                </w:p>
                <w:p w14:paraId="5E4B65E6">
                  <w:pPr>
                    <w:widowControl w:val="0"/>
                    <w:tabs>
                      <w:tab w:val="left" w:pos="450"/>
                    </w:tabs>
                    <w:spacing w:before="240" w:after="0" w:line="276" w:lineRule="auto"/>
                    <w:ind w:left="140" w:right="140"/>
                    <w:jc w:val="center"/>
                    <w:rPr>
                      <w:b/>
                      <w:sz w:val="20"/>
                      <w:szCs w:val="20"/>
                    </w:rPr>
                  </w:pPr>
                  <w:r>
                    <w:rPr>
                      <w:b/>
                      <w:sz w:val="20"/>
                      <w:szCs w:val="20"/>
                    </w:rPr>
                    <w:t xml:space="preserve"> TRATAMENTO FORA DOMICÍLIO - TFD</w:t>
                  </w:r>
                </w:p>
              </w:tc>
            </w:tr>
            <w:tr w14:paraId="55930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255" w:hRule="atLeast"/>
              </w:trPr>
              <w:tc>
                <w:tcPr>
                  <w:tcW w:w="2025" w:type="dxa"/>
                  <w:tcBorders>
                    <w:top w:val="nil"/>
                    <w:left w:val="single" w:color="000000" w:sz="6" w:space="0"/>
                    <w:bottom w:val="single" w:color="000000" w:sz="6" w:space="0"/>
                    <w:right w:val="single" w:color="000000" w:sz="6" w:space="0"/>
                  </w:tcBorders>
                  <w:shd w:val="clear" w:color="auto" w:fill="auto"/>
                  <w:tcMar>
                    <w:top w:w="0" w:type="dxa"/>
                    <w:left w:w="100" w:type="dxa"/>
                    <w:bottom w:w="0" w:type="dxa"/>
                    <w:right w:w="100" w:type="dxa"/>
                  </w:tcMar>
                </w:tcPr>
                <w:p w14:paraId="125748DD">
                  <w:pPr>
                    <w:widowControl w:val="0"/>
                    <w:tabs>
                      <w:tab w:val="left" w:pos="450"/>
                    </w:tabs>
                    <w:spacing w:before="240" w:after="0" w:line="276" w:lineRule="auto"/>
                    <w:ind w:left="140" w:right="140"/>
                    <w:jc w:val="both"/>
                    <w:rPr>
                      <w:sz w:val="20"/>
                      <w:szCs w:val="20"/>
                    </w:rPr>
                  </w:pPr>
                  <w:r>
                    <w:rPr>
                      <w:sz w:val="20"/>
                      <w:szCs w:val="20"/>
                    </w:rPr>
                    <w:t>2022</w:t>
                  </w:r>
                </w:p>
              </w:tc>
              <w:tc>
                <w:tcPr>
                  <w:tcW w:w="189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3992F378">
                  <w:pPr>
                    <w:widowControl w:val="0"/>
                    <w:tabs>
                      <w:tab w:val="left" w:pos="450"/>
                    </w:tabs>
                    <w:spacing w:before="240" w:after="0" w:line="276" w:lineRule="auto"/>
                    <w:ind w:left="140" w:right="140"/>
                    <w:jc w:val="both"/>
                    <w:rPr>
                      <w:sz w:val="20"/>
                      <w:szCs w:val="20"/>
                    </w:rPr>
                  </w:pPr>
                  <w:r>
                    <w:rPr>
                      <w:sz w:val="20"/>
                      <w:szCs w:val="20"/>
                    </w:rPr>
                    <w:t>2.713</w:t>
                  </w:r>
                </w:p>
              </w:tc>
            </w:tr>
            <w:tr w14:paraId="78E90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255" w:hRule="atLeast"/>
              </w:trPr>
              <w:tc>
                <w:tcPr>
                  <w:tcW w:w="2025" w:type="dxa"/>
                  <w:tcBorders>
                    <w:top w:val="nil"/>
                    <w:left w:val="single" w:color="000000" w:sz="6" w:space="0"/>
                    <w:bottom w:val="single" w:color="000000" w:sz="6" w:space="0"/>
                    <w:right w:val="single" w:color="000000" w:sz="6" w:space="0"/>
                  </w:tcBorders>
                  <w:shd w:val="clear" w:color="auto" w:fill="auto"/>
                  <w:tcMar>
                    <w:top w:w="0" w:type="dxa"/>
                    <w:left w:w="100" w:type="dxa"/>
                    <w:bottom w:w="0" w:type="dxa"/>
                    <w:right w:w="100" w:type="dxa"/>
                  </w:tcMar>
                </w:tcPr>
                <w:p w14:paraId="0501DF2B">
                  <w:pPr>
                    <w:widowControl w:val="0"/>
                    <w:tabs>
                      <w:tab w:val="left" w:pos="450"/>
                    </w:tabs>
                    <w:spacing w:before="240" w:after="0" w:line="276" w:lineRule="auto"/>
                    <w:ind w:left="140" w:right="140"/>
                    <w:jc w:val="both"/>
                    <w:rPr>
                      <w:sz w:val="20"/>
                      <w:szCs w:val="20"/>
                    </w:rPr>
                  </w:pPr>
                  <w:r>
                    <w:rPr>
                      <w:sz w:val="20"/>
                      <w:szCs w:val="20"/>
                    </w:rPr>
                    <w:t>2023</w:t>
                  </w:r>
                </w:p>
              </w:tc>
              <w:tc>
                <w:tcPr>
                  <w:tcW w:w="189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33DB2361">
                  <w:pPr>
                    <w:widowControl w:val="0"/>
                    <w:tabs>
                      <w:tab w:val="left" w:pos="450"/>
                    </w:tabs>
                    <w:spacing w:before="240" w:after="0" w:line="276" w:lineRule="auto"/>
                    <w:ind w:left="140" w:right="140"/>
                    <w:jc w:val="both"/>
                    <w:rPr>
                      <w:sz w:val="20"/>
                      <w:szCs w:val="20"/>
                    </w:rPr>
                  </w:pPr>
                  <w:r>
                    <w:rPr>
                      <w:sz w:val="20"/>
                      <w:szCs w:val="20"/>
                    </w:rPr>
                    <w:t>3.297</w:t>
                  </w:r>
                </w:p>
              </w:tc>
            </w:tr>
            <w:tr w14:paraId="6972D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255" w:hRule="atLeast"/>
              </w:trPr>
              <w:tc>
                <w:tcPr>
                  <w:tcW w:w="2025" w:type="dxa"/>
                  <w:tcBorders>
                    <w:top w:val="nil"/>
                    <w:left w:val="single" w:color="000000" w:sz="6" w:space="0"/>
                    <w:bottom w:val="single" w:color="000000" w:sz="6" w:space="0"/>
                    <w:right w:val="single" w:color="000000" w:sz="6" w:space="0"/>
                  </w:tcBorders>
                  <w:shd w:val="clear" w:color="auto" w:fill="auto"/>
                  <w:tcMar>
                    <w:top w:w="0" w:type="dxa"/>
                    <w:left w:w="100" w:type="dxa"/>
                    <w:bottom w:w="0" w:type="dxa"/>
                    <w:right w:w="100" w:type="dxa"/>
                  </w:tcMar>
                </w:tcPr>
                <w:p w14:paraId="1DD46E65">
                  <w:pPr>
                    <w:widowControl w:val="0"/>
                    <w:tabs>
                      <w:tab w:val="left" w:pos="450"/>
                    </w:tabs>
                    <w:spacing w:before="240" w:after="0" w:line="276" w:lineRule="auto"/>
                    <w:ind w:left="140" w:right="140"/>
                    <w:jc w:val="both"/>
                    <w:rPr>
                      <w:color w:val="FF0000"/>
                      <w:sz w:val="20"/>
                      <w:szCs w:val="20"/>
                    </w:rPr>
                  </w:pPr>
                  <w:r>
                    <w:rPr>
                      <w:color w:val="FF0000"/>
                      <w:sz w:val="20"/>
                      <w:szCs w:val="20"/>
                    </w:rPr>
                    <w:t>2024</w:t>
                  </w:r>
                </w:p>
              </w:tc>
              <w:tc>
                <w:tcPr>
                  <w:tcW w:w="189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799BCF76">
                  <w:pPr>
                    <w:widowControl w:val="0"/>
                    <w:tabs>
                      <w:tab w:val="left" w:pos="450"/>
                    </w:tabs>
                    <w:spacing w:before="240" w:after="0" w:line="276" w:lineRule="auto"/>
                    <w:ind w:left="140" w:right="140"/>
                    <w:jc w:val="both"/>
                    <w:rPr>
                      <w:color w:val="FF0000"/>
                      <w:sz w:val="20"/>
                      <w:szCs w:val="20"/>
                    </w:rPr>
                  </w:pPr>
                  <w:r>
                    <w:rPr>
                      <w:color w:val="FF0000"/>
                      <w:sz w:val="20"/>
                      <w:szCs w:val="20"/>
                    </w:rPr>
                    <w:t>3.284</w:t>
                  </w:r>
                </w:p>
              </w:tc>
            </w:tr>
          </w:tbl>
          <w:p w14:paraId="7612CCF9">
            <w:pPr>
              <w:widowControl w:val="0"/>
              <w:tabs>
                <w:tab w:val="left" w:pos="450"/>
              </w:tabs>
              <w:spacing w:before="240" w:after="0" w:line="276" w:lineRule="auto"/>
              <w:jc w:val="both"/>
              <w:rPr>
                <w:sz w:val="20"/>
                <w:szCs w:val="20"/>
              </w:rPr>
            </w:pPr>
            <w:r>
              <w:rPr>
                <w:sz w:val="20"/>
                <w:szCs w:val="20"/>
              </w:rPr>
              <w:t xml:space="preserve">Série histórica referente a utilização faturada de KM nos últimos </w:t>
            </w:r>
            <w:r>
              <w:rPr>
                <w:color w:val="FF0000"/>
                <w:sz w:val="20"/>
                <w:szCs w:val="20"/>
              </w:rPr>
              <w:t>03 anos</w:t>
            </w:r>
            <w:r>
              <w:rPr>
                <w:sz w:val="20"/>
                <w:szCs w:val="20"/>
              </w:rPr>
              <w:t xml:space="preserve">  correspondentes a 2022, 2023 e 2024.</w:t>
            </w:r>
          </w:p>
          <w:p w14:paraId="4A4E591A">
            <w:pPr>
              <w:widowControl w:val="0"/>
              <w:tabs>
                <w:tab w:val="left" w:pos="450"/>
              </w:tabs>
              <w:spacing w:before="240" w:after="0" w:line="276" w:lineRule="auto"/>
              <w:jc w:val="both"/>
              <w:rPr>
                <w:sz w:val="20"/>
                <w:szCs w:val="20"/>
              </w:rPr>
            </w:pPr>
            <w:r>
              <w:rPr>
                <w:sz w:val="20"/>
                <w:szCs w:val="20"/>
              </w:rPr>
              <w:t xml:space="preserve"> </w:t>
            </w:r>
          </w:p>
          <w:tbl>
            <w:tblPr>
              <w:tblStyle w:val="22"/>
              <w:tblW w:w="9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00" w:type="dxa"/>
                <w:left w:w="100" w:type="dxa"/>
                <w:bottom w:w="100" w:type="dxa"/>
                <w:right w:w="100" w:type="dxa"/>
              </w:tblCellMar>
            </w:tblPr>
            <w:tblGrid>
              <w:gridCol w:w="2925"/>
              <w:gridCol w:w="1440"/>
              <w:gridCol w:w="1260"/>
              <w:gridCol w:w="1275"/>
              <w:gridCol w:w="1410"/>
              <w:gridCol w:w="1290"/>
            </w:tblGrid>
            <w:tr w14:paraId="7A957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255" w:hRule="atLeast"/>
              </w:trPr>
              <w:tc>
                <w:tcPr>
                  <w:tcW w:w="2925" w:type="dxa"/>
                  <w:tcBorders>
                    <w:top w:val="single" w:color="000000" w:sz="6" w:space="0"/>
                    <w:left w:val="single" w:color="000000" w:sz="6" w:space="0"/>
                    <w:bottom w:val="single" w:color="000000" w:sz="6" w:space="0"/>
                    <w:right w:val="single" w:color="000000" w:sz="6" w:space="0"/>
                  </w:tcBorders>
                  <w:shd w:val="clear" w:color="auto" w:fill="auto"/>
                  <w:tcMar>
                    <w:top w:w="0" w:type="dxa"/>
                    <w:left w:w="100" w:type="dxa"/>
                    <w:bottom w:w="0" w:type="dxa"/>
                    <w:right w:w="100" w:type="dxa"/>
                  </w:tcMar>
                </w:tcPr>
                <w:p w14:paraId="3ABD22F9">
                  <w:pPr>
                    <w:widowControl w:val="0"/>
                    <w:tabs>
                      <w:tab w:val="left" w:pos="450"/>
                    </w:tabs>
                    <w:spacing w:before="240" w:after="0" w:line="276" w:lineRule="auto"/>
                    <w:jc w:val="center"/>
                    <w:rPr>
                      <w:b/>
                      <w:sz w:val="20"/>
                      <w:szCs w:val="20"/>
                    </w:rPr>
                  </w:pPr>
                  <w:r>
                    <w:rPr>
                      <w:b/>
                      <w:sz w:val="20"/>
                      <w:szCs w:val="20"/>
                    </w:rPr>
                    <w:t>TRANSPORTE</w:t>
                  </w:r>
                </w:p>
              </w:tc>
              <w:tc>
                <w:tcPr>
                  <w:tcW w:w="1440" w:type="dxa"/>
                  <w:tcBorders>
                    <w:top w:val="single" w:color="000000" w:sz="6" w:space="0"/>
                    <w:left w:val="nil"/>
                    <w:bottom w:val="single" w:color="000000" w:sz="6" w:space="0"/>
                    <w:right w:val="single" w:color="000000" w:sz="6" w:space="0"/>
                  </w:tcBorders>
                  <w:shd w:val="clear" w:color="auto" w:fill="auto"/>
                  <w:tcMar>
                    <w:top w:w="0" w:type="dxa"/>
                    <w:left w:w="100" w:type="dxa"/>
                    <w:bottom w:w="0" w:type="dxa"/>
                    <w:right w:w="100" w:type="dxa"/>
                  </w:tcMar>
                </w:tcPr>
                <w:p w14:paraId="04F36CD9">
                  <w:pPr>
                    <w:widowControl w:val="0"/>
                    <w:tabs>
                      <w:tab w:val="left" w:pos="450"/>
                    </w:tabs>
                    <w:spacing w:before="240" w:after="0" w:line="276" w:lineRule="auto"/>
                    <w:jc w:val="center"/>
                    <w:rPr>
                      <w:b/>
                      <w:sz w:val="20"/>
                      <w:szCs w:val="20"/>
                    </w:rPr>
                  </w:pPr>
                  <w:r>
                    <w:rPr>
                      <w:b/>
                      <w:sz w:val="20"/>
                      <w:szCs w:val="20"/>
                    </w:rPr>
                    <w:t>2022</w:t>
                  </w:r>
                </w:p>
              </w:tc>
              <w:tc>
                <w:tcPr>
                  <w:tcW w:w="1260" w:type="dxa"/>
                  <w:tcBorders>
                    <w:top w:val="single" w:color="000000" w:sz="6" w:space="0"/>
                    <w:left w:val="nil"/>
                    <w:bottom w:val="single" w:color="000000" w:sz="6" w:space="0"/>
                    <w:right w:val="single" w:color="000000" w:sz="6" w:space="0"/>
                  </w:tcBorders>
                  <w:shd w:val="clear" w:color="auto" w:fill="auto"/>
                  <w:tcMar>
                    <w:top w:w="0" w:type="dxa"/>
                    <w:left w:w="100" w:type="dxa"/>
                    <w:bottom w:w="0" w:type="dxa"/>
                    <w:right w:w="100" w:type="dxa"/>
                  </w:tcMar>
                </w:tcPr>
                <w:p w14:paraId="09A371C4">
                  <w:pPr>
                    <w:widowControl w:val="0"/>
                    <w:tabs>
                      <w:tab w:val="left" w:pos="450"/>
                    </w:tabs>
                    <w:spacing w:before="240" w:after="0" w:line="276" w:lineRule="auto"/>
                    <w:jc w:val="center"/>
                    <w:rPr>
                      <w:b/>
                      <w:sz w:val="20"/>
                      <w:szCs w:val="20"/>
                    </w:rPr>
                  </w:pPr>
                  <w:r>
                    <w:rPr>
                      <w:b/>
                      <w:sz w:val="20"/>
                      <w:szCs w:val="20"/>
                    </w:rPr>
                    <w:t>2023</w:t>
                  </w:r>
                </w:p>
              </w:tc>
              <w:tc>
                <w:tcPr>
                  <w:tcW w:w="1275" w:type="dxa"/>
                  <w:tcBorders>
                    <w:top w:val="single" w:color="000000" w:sz="6" w:space="0"/>
                    <w:left w:val="nil"/>
                    <w:bottom w:val="single" w:color="000000" w:sz="6" w:space="0"/>
                    <w:right w:val="single" w:color="000000" w:sz="6" w:space="0"/>
                  </w:tcBorders>
                  <w:shd w:val="clear" w:color="auto" w:fill="auto"/>
                  <w:tcMar>
                    <w:top w:w="0" w:type="dxa"/>
                    <w:left w:w="100" w:type="dxa"/>
                    <w:bottom w:w="0" w:type="dxa"/>
                    <w:right w:w="100" w:type="dxa"/>
                  </w:tcMar>
                </w:tcPr>
                <w:p w14:paraId="5E5010C4">
                  <w:pPr>
                    <w:widowControl w:val="0"/>
                    <w:tabs>
                      <w:tab w:val="left" w:pos="450"/>
                    </w:tabs>
                    <w:spacing w:before="240" w:after="0" w:line="276" w:lineRule="auto"/>
                    <w:jc w:val="center"/>
                    <w:rPr>
                      <w:b/>
                      <w:color w:val="FF0000"/>
                      <w:sz w:val="20"/>
                      <w:szCs w:val="20"/>
                    </w:rPr>
                  </w:pPr>
                  <w:r>
                    <w:rPr>
                      <w:b/>
                      <w:color w:val="FF0000"/>
                      <w:sz w:val="20"/>
                      <w:szCs w:val="20"/>
                    </w:rPr>
                    <w:t>2024</w:t>
                  </w:r>
                </w:p>
              </w:tc>
              <w:tc>
                <w:tcPr>
                  <w:tcW w:w="1410" w:type="dxa"/>
                  <w:tcBorders>
                    <w:top w:val="single" w:color="000000" w:sz="6" w:space="0"/>
                    <w:left w:val="nil"/>
                    <w:bottom w:val="single" w:color="000000" w:sz="6" w:space="0"/>
                    <w:right w:val="single" w:color="000000" w:sz="6" w:space="0"/>
                  </w:tcBorders>
                  <w:shd w:val="clear" w:color="auto" w:fill="auto"/>
                  <w:tcMar>
                    <w:top w:w="0" w:type="dxa"/>
                    <w:left w:w="100" w:type="dxa"/>
                    <w:bottom w:w="0" w:type="dxa"/>
                    <w:right w:w="100" w:type="dxa"/>
                  </w:tcMar>
                </w:tcPr>
                <w:p w14:paraId="40A0219E">
                  <w:pPr>
                    <w:widowControl w:val="0"/>
                    <w:tabs>
                      <w:tab w:val="left" w:pos="450"/>
                    </w:tabs>
                    <w:spacing w:before="240" w:after="0" w:line="276" w:lineRule="auto"/>
                    <w:jc w:val="center"/>
                    <w:rPr>
                      <w:b/>
                      <w:color w:val="FF0000"/>
                      <w:sz w:val="20"/>
                      <w:szCs w:val="20"/>
                    </w:rPr>
                  </w:pPr>
                  <w:r>
                    <w:rPr>
                      <w:b/>
                      <w:color w:val="FF0000"/>
                      <w:sz w:val="20"/>
                      <w:szCs w:val="20"/>
                    </w:rPr>
                    <w:t>Média mês</w:t>
                  </w:r>
                </w:p>
              </w:tc>
              <w:tc>
                <w:tcPr>
                  <w:tcW w:w="1290" w:type="dxa"/>
                  <w:tcBorders>
                    <w:top w:val="single" w:color="000000" w:sz="6" w:space="0"/>
                    <w:left w:val="nil"/>
                    <w:bottom w:val="single" w:color="000000" w:sz="6" w:space="0"/>
                    <w:right w:val="single" w:color="000000" w:sz="6" w:space="0"/>
                  </w:tcBorders>
                  <w:shd w:val="clear" w:color="auto" w:fill="auto"/>
                  <w:tcMar>
                    <w:top w:w="0" w:type="dxa"/>
                    <w:left w:w="100" w:type="dxa"/>
                    <w:bottom w:w="0" w:type="dxa"/>
                    <w:right w:w="100" w:type="dxa"/>
                  </w:tcMar>
                </w:tcPr>
                <w:p w14:paraId="5A36923F">
                  <w:pPr>
                    <w:widowControl w:val="0"/>
                    <w:tabs>
                      <w:tab w:val="left" w:pos="450"/>
                    </w:tabs>
                    <w:spacing w:before="240" w:after="0" w:line="276" w:lineRule="auto"/>
                    <w:jc w:val="center"/>
                    <w:rPr>
                      <w:b/>
                      <w:color w:val="FF0000"/>
                      <w:sz w:val="20"/>
                      <w:szCs w:val="20"/>
                    </w:rPr>
                  </w:pPr>
                  <w:r>
                    <w:rPr>
                      <w:b/>
                      <w:color w:val="FF0000"/>
                      <w:sz w:val="20"/>
                      <w:szCs w:val="20"/>
                    </w:rPr>
                    <w:t>Média Ano</w:t>
                  </w:r>
                </w:p>
              </w:tc>
            </w:tr>
            <w:tr w14:paraId="46D74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255" w:hRule="atLeast"/>
              </w:trPr>
              <w:tc>
                <w:tcPr>
                  <w:tcW w:w="2925" w:type="dxa"/>
                  <w:tcBorders>
                    <w:top w:val="nil"/>
                    <w:left w:val="single" w:color="000000" w:sz="6" w:space="0"/>
                    <w:bottom w:val="single" w:color="000000" w:sz="6" w:space="0"/>
                    <w:right w:val="single" w:color="000000" w:sz="6" w:space="0"/>
                  </w:tcBorders>
                  <w:shd w:val="clear" w:color="auto" w:fill="auto"/>
                  <w:tcMar>
                    <w:top w:w="0" w:type="dxa"/>
                    <w:left w:w="100" w:type="dxa"/>
                    <w:bottom w:w="0" w:type="dxa"/>
                    <w:right w:w="100" w:type="dxa"/>
                  </w:tcMar>
                </w:tcPr>
                <w:p w14:paraId="5235C352">
                  <w:pPr>
                    <w:widowControl w:val="0"/>
                    <w:tabs>
                      <w:tab w:val="left" w:pos="450"/>
                    </w:tabs>
                    <w:spacing w:before="240" w:after="0" w:line="276" w:lineRule="auto"/>
                    <w:jc w:val="both"/>
                    <w:rPr>
                      <w:sz w:val="20"/>
                      <w:szCs w:val="20"/>
                    </w:rPr>
                  </w:pPr>
                  <w:r>
                    <w:rPr>
                      <w:sz w:val="20"/>
                      <w:szCs w:val="20"/>
                    </w:rPr>
                    <w:t>Veículo tipo VAN (15 lugares)</w:t>
                  </w:r>
                </w:p>
              </w:tc>
              <w:tc>
                <w:tcPr>
                  <w:tcW w:w="144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73930EB5">
                  <w:pPr>
                    <w:widowControl w:val="0"/>
                    <w:tabs>
                      <w:tab w:val="left" w:pos="450"/>
                    </w:tabs>
                    <w:spacing w:before="240" w:after="0" w:line="276" w:lineRule="auto"/>
                    <w:jc w:val="center"/>
                    <w:rPr>
                      <w:sz w:val="20"/>
                      <w:szCs w:val="20"/>
                    </w:rPr>
                  </w:pPr>
                  <w:r>
                    <w:rPr>
                      <w:sz w:val="20"/>
                      <w:szCs w:val="20"/>
                    </w:rPr>
                    <w:t>727.752</w:t>
                  </w:r>
                </w:p>
              </w:tc>
              <w:tc>
                <w:tcPr>
                  <w:tcW w:w="126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6BA82180">
                  <w:pPr>
                    <w:widowControl w:val="0"/>
                    <w:tabs>
                      <w:tab w:val="left" w:pos="450"/>
                    </w:tabs>
                    <w:spacing w:before="240" w:after="0" w:line="276" w:lineRule="auto"/>
                    <w:jc w:val="center"/>
                    <w:rPr>
                      <w:sz w:val="20"/>
                      <w:szCs w:val="20"/>
                    </w:rPr>
                  </w:pPr>
                  <w:r>
                    <w:rPr>
                      <w:sz w:val="20"/>
                      <w:szCs w:val="20"/>
                    </w:rPr>
                    <w:t>854.689</w:t>
                  </w:r>
                </w:p>
              </w:tc>
              <w:tc>
                <w:tcPr>
                  <w:tcW w:w="1275"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2C1A0D22">
                  <w:pPr>
                    <w:widowControl w:val="0"/>
                    <w:tabs>
                      <w:tab w:val="left" w:pos="450"/>
                    </w:tabs>
                    <w:spacing w:before="240" w:after="0" w:line="276" w:lineRule="auto"/>
                    <w:jc w:val="center"/>
                    <w:rPr>
                      <w:color w:val="FF0000"/>
                      <w:sz w:val="20"/>
                      <w:szCs w:val="20"/>
                    </w:rPr>
                  </w:pPr>
                  <w:r>
                    <w:rPr>
                      <w:color w:val="FF0000"/>
                      <w:sz w:val="20"/>
                      <w:szCs w:val="20"/>
                    </w:rPr>
                    <w:t>879.964</w:t>
                  </w:r>
                </w:p>
              </w:tc>
              <w:tc>
                <w:tcPr>
                  <w:tcW w:w="141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7E769EE6">
                  <w:pPr>
                    <w:widowControl w:val="0"/>
                    <w:tabs>
                      <w:tab w:val="left" w:pos="450"/>
                    </w:tabs>
                    <w:spacing w:before="240" w:after="0" w:line="276" w:lineRule="auto"/>
                    <w:jc w:val="center"/>
                    <w:rPr>
                      <w:b/>
                      <w:color w:val="FF0000"/>
                      <w:sz w:val="18"/>
                      <w:szCs w:val="18"/>
                    </w:rPr>
                  </w:pPr>
                  <w:r>
                    <w:rPr>
                      <w:b/>
                      <w:color w:val="FF0000"/>
                      <w:sz w:val="18"/>
                      <w:szCs w:val="18"/>
                    </w:rPr>
                    <w:t>68.400</w:t>
                  </w:r>
                </w:p>
              </w:tc>
              <w:tc>
                <w:tcPr>
                  <w:tcW w:w="129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27BADDAF">
                  <w:pPr>
                    <w:widowControl w:val="0"/>
                    <w:tabs>
                      <w:tab w:val="left" w:pos="450"/>
                    </w:tabs>
                    <w:spacing w:before="240" w:after="0" w:line="276" w:lineRule="auto"/>
                    <w:jc w:val="center"/>
                    <w:rPr>
                      <w:b/>
                      <w:color w:val="FF0000"/>
                      <w:sz w:val="20"/>
                      <w:szCs w:val="20"/>
                    </w:rPr>
                  </w:pPr>
                  <w:r>
                    <w:rPr>
                      <w:b/>
                      <w:color w:val="FF0000"/>
                      <w:sz w:val="20"/>
                      <w:szCs w:val="20"/>
                    </w:rPr>
                    <w:t>820.802</w:t>
                  </w:r>
                </w:p>
              </w:tc>
            </w:tr>
            <w:tr w14:paraId="29E05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255" w:hRule="atLeast"/>
              </w:trPr>
              <w:tc>
                <w:tcPr>
                  <w:tcW w:w="2925" w:type="dxa"/>
                  <w:tcBorders>
                    <w:top w:val="nil"/>
                    <w:left w:val="single" w:color="000000" w:sz="6" w:space="0"/>
                    <w:bottom w:val="single" w:color="000000" w:sz="6" w:space="0"/>
                    <w:right w:val="single" w:color="000000" w:sz="6" w:space="0"/>
                  </w:tcBorders>
                  <w:shd w:val="clear" w:color="auto" w:fill="auto"/>
                  <w:tcMar>
                    <w:top w:w="0" w:type="dxa"/>
                    <w:left w:w="100" w:type="dxa"/>
                    <w:bottom w:w="0" w:type="dxa"/>
                    <w:right w:w="100" w:type="dxa"/>
                  </w:tcMar>
                </w:tcPr>
                <w:p w14:paraId="4CC23A0B">
                  <w:pPr>
                    <w:widowControl w:val="0"/>
                    <w:tabs>
                      <w:tab w:val="left" w:pos="450"/>
                    </w:tabs>
                    <w:spacing w:before="240" w:after="0" w:line="276" w:lineRule="auto"/>
                    <w:jc w:val="both"/>
                    <w:rPr>
                      <w:sz w:val="20"/>
                      <w:szCs w:val="20"/>
                    </w:rPr>
                  </w:pPr>
                  <w:r>
                    <w:rPr>
                      <w:sz w:val="20"/>
                      <w:szCs w:val="20"/>
                    </w:rPr>
                    <w:t>Veículo tipo MICRO (25 lugares)</w:t>
                  </w:r>
                </w:p>
              </w:tc>
              <w:tc>
                <w:tcPr>
                  <w:tcW w:w="144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5239A3F8">
                  <w:pPr>
                    <w:widowControl w:val="0"/>
                    <w:tabs>
                      <w:tab w:val="left" w:pos="450"/>
                    </w:tabs>
                    <w:spacing w:before="240" w:after="0" w:line="276" w:lineRule="auto"/>
                    <w:jc w:val="center"/>
                    <w:rPr>
                      <w:sz w:val="20"/>
                      <w:szCs w:val="20"/>
                    </w:rPr>
                  </w:pPr>
                  <w:r>
                    <w:rPr>
                      <w:sz w:val="20"/>
                      <w:szCs w:val="20"/>
                    </w:rPr>
                    <w:t>25.742</w:t>
                  </w:r>
                </w:p>
              </w:tc>
              <w:tc>
                <w:tcPr>
                  <w:tcW w:w="126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0854311F">
                  <w:pPr>
                    <w:widowControl w:val="0"/>
                    <w:tabs>
                      <w:tab w:val="left" w:pos="450"/>
                    </w:tabs>
                    <w:spacing w:before="240" w:after="0" w:line="276" w:lineRule="auto"/>
                    <w:jc w:val="center"/>
                    <w:rPr>
                      <w:sz w:val="20"/>
                      <w:szCs w:val="20"/>
                    </w:rPr>
                  </w:pPr>
                  <w:r>
                    <w:rPr>
                      <w:sz w:val="20"/>
                      <w:szCs w:val="20"/>
                    </w:rPr>
                    <w:t>31.822</w:t>
                  </w:r>
                </w:p>
              </w:tc>
              <w:tc>
                <w:tcPr>
                  <w:tcW w:w="1275"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20ED2571">
                  <w:pPr>
                    <w:widowControl w:val="0"/>
                    <w:tabs>
                      <w:tab w:val="left" w:pos="450"/>
                    </w:tabs>
                    <w:spacing w:before="240" w:after="0" w:line="276" w:lineRule="auto"/>
                    <w:jc w:val="center"/>
                    <w:rPr>
                      <w:color w:val="FF0000"/>
                      <w:sz w:val="20"/>
                      <w:szCs w:val="20"/>
                    </w:rPr>
                  </w:pPr>
                  <w:r>
                    <w:rPr>
                      <w:color w:val="FF0000"/>
                      <w:sz w:val="20"/>
                      <w:szCs w:val="20"/>
                    </w:rPr>
                    <w:t>20.328</w:t>
                  </w:r>
                </w:p>
              </w:tc>
              <w:tc>
                <w:tcPr>
                  <w:tcW w:w="141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44C215D9">
                  <w:pPr>
                    <w:widowControl w:val="0"/>
                    <w:tabs>
                      <w:tab w:val="left" w:pos="450"/>
                    </w:tabs>
                    <w:spacing w:before="240" w:after="0" w:line="276" w:lineRule="auto"/>
                    <w:jc w:val="center"/>
                    <w:rPr>
                      <w:b/>
                      <w:color w:val="FF0000"/>
                      <w:sz w:val="18"/>
                      <w:szCs w:val="18"/>
                    </w:rPr>
                  </w:pPr>
                  <w:r>
                    <w:rPr>
                      <w:b/>
                      <w:color w:val="FF0000"/>
                      <w:sz w:val="18"/>
                      <w:szCs w:val="18"/>
                    </w:rPr>
                    <w:t>1.624</w:t>
                  </w:r>
                </w:p>
              </w:tc>
              <w:tc>
                <w:tcPr>
                  <w:tcW w:w="129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64CD0FB4">
                  <w:pPr>
                    <w:widowControl w:val="0"/>
                    <w:tabs>
                      <w:tab w:val="left" w:pos="450"/>
                    </w:tabs>
                    <w:spacing w:before="240" w:after="0" w:line="276" w:lineRule="auto"/>
                    <w:jc w:val="center"/>
                    <w:rPr>
                      <w:b/>
                      <w:color w:val="FF0000"/>
                      <w:sz w:val="20"/>
                      <w:szCs w:val="20"/>
                    </w:rPr>
                  </w:pPr>
                  <w:r>
                    <w:rPr>
                      <w:b/>
                      <w:color w:val="FF0000"/>
                      <w:sz w:val="20"/>
                      <w:szCs w:val="20"/>
                    </w:rPr>
                    <w:t>19.488</w:t>
                  </w:r>
                </w:p>
              </w:tc>
            </w:tr>
            <w:tr w14:paraId="1D95C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735" w:hRule="atLeast"/>
              </w:trPr>
              <w:tc>
                <w:tcPr>
                  <w:tcW w:w="2925" w:type="dxa"/>
                  <w:tcBorders>
                    <w:top w:val="nil"/>
                    <w:left w:val="single" w:color="000000" w:sz="6" w:space="0"/>
                    <w:bottom w:val="single" w:color="000000" w:sz="6" w:space="0"/>
                    <w:right w:val="single" w:color="000000" w:sz="6" w:space="0"/>
                  </w:tcBorders>
                  <w:shd w:val="clear" w:color="auto" w:fill="auto"/>
                  <w:tcMar>
                    <w:top w:w="0" w:type="dxa"/>
                    <w:left w:w="100" w:type="dxa"/>
                    <w:bottom w:w="0" w:type="dxa"/>
                    <w:right w:w="100" w:type="dxa"/>
                  </w:tcMar>
                </w:tcPr>
                <w:p w14:paraId="1FBBCB86">
                  <w:pPr>
                    <w:widowControl w:val="0"/>
                    <w:tabs>
                      <w:tab w:val="left" w:pos="450"/>
                    </w:tabs>
                    <w:spacing w:before="240" w:after="0" w:line="276" w:lineRule="auto"/>
                    <w:jc w:val="both"/>
                    <w:rPr>
                      <w:sz w:val="20"/>
                      <w:szCs w:val="20"/>
                    </w:rPr>
                  </w:pPr>
                  <w:r>
                    <w:rPr>
                      <w:sz w:val="20"/>
                      <w:szCs w:val="20"/>
                    </w:rPr>
                    <w:t>Veículo tipo Carro baixo (07 lugares) (Agosto/23 a maio/2024)</w:t>
                  </w:r>
                </w:p>
              </w:tc>
              <w:tc>
                <w:tcPr>
                  <w:tcW w:w="144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027BA55B">
                  <w:pPr>
                    <w:widowControl w:val="0"/>
                    <w:tabs>
                      <w:tab w:val="left" w:pos="450"/>
                    </w:tabs>
                    <w:spacing w:before="240" w:after="0" w:line="276" w:lineRule="auto"/>
                    <w:jc w:val="center"/>
                    <w:rPr>
                      <w:sz w:val="20"/>
                      <w:szCs w:val="20"/>
                    </w:rPr>
                  </w:pPr>
                  <w:r>
                    <w:rPr>
                      <w:sz w:val="20"/>
                      <w:szCs w:val="20"/>
                    </w:rPr>
                    <w:t>Sem histórico</w:t>
                  </w:r>
                </w:p>
              </w:tc>
              <w:tc>
                <w:tcPr>
                  <w:tcW w:w="126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5C834715">
                  <w:pPr>
                    <w:widowControl w:val="0"/>
                    <w:tabs>
                      <w:tab w:val="left" w:pos="450"/>
                    </w:tabs>
                    <w:spacing w:before="240" w:after="0" w:line="276" w:lineRule="auto"/>
                    <w:jc w:val="center"/>
                    <w:rPr>
                      <w:sz w:val="20"/>
                      <w:szCs w:val="20"/>
                    </w:rPr>
                  </w:pPr>
                  <w:r>
                    <w:rPr>
                      <w:sz w:val="20"/>
                      <w:szCs w:val="20"/>
                    </w:rPr>
                    <w:t>13.700</w:t>
                  </w:r>
                </w:p>
              </w:tc>
              <w:tc>
                <w:tcPr>
                  <w:tcW w:w="1275"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334AE539">
                  <w:pPr>
                    <w:widowControl w:val="0"/>
                    <w:tabs>
                      <w:tab w:val="left" w:pos="450"/>
                    </w:tabs>
                    <w:spacing w:before="240" w:after="0" w:line="276" w:lineRule="auto"/>
                    <w:jc w:val="center"/>
                    <w:rPr>
                      <w:color w:val="FF0000"/>
                      <w:sz w:val="20"/>
                      <w:szCs w:val="20"/>
                    </w:rPr>
                  </w:pPr>
                  <w:r>
                    <w:rPr>
                      <w:color w:val="FF0000"/>
                      <w:sz w:val="20"/>
                      <w:szCs w:val="20"/>
                    </w:rPr>
                    <w:t>103.818</w:t>
                  </w:r>
                </w:p>
              </w:tc>
              <w:tc>
                <w:tcPr>
                  <w:tcW w:w="141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5B487819">
                  <w:pPr>
                    <w:widowControl w:val="0"/>
                    <w:tabs>
                      <w:tab w:val="left" w:pos="450"/>
                    </w:tabs>
                    <w:spacing w:before="240" w:after="0" w:line="276" w:lineRule="auto"/>
                    <w:jc w:val="center"/>
                    <w:rPr>
                      <w:b/>
                      <w:color w:val="FF0000"/>
                      <w:sz w:val="18"/>
                      <w:szCs w:val="18"/>
                    </w:rPr>
                  </w:pPr>
                  <w:r>
                    <w:rPr>
                      <w:b/>
                      <w:color w:val="FF0000"/>
                      <w:sz w:val="18"/>
                      <w:szCs w:val="18"/>
                    </w:rPr>
                    <w:t>7.223</w:t>
                  </w:r>
                </w:p>
              </w:tc>
              <w:tc>
                <w:tcPr>
                  <w:tcW w:w="1290" w:type="dxa"/>
                  <w:tcBorders>
                    <w:top w:val="nil"/>
                    <w:left w:val="nil"/>
                    <w:bottom w:val="single" w:color="000000" w:sz="6" w:space="0"/>
                    <w:right w:val="single" w:color="000000" w:sz="6" w:space="0"/>
                  </w:tcBorders>
                  <w:shd w:val="clear" w:color="auto" w:fill="auto"/>
                  <w:tcMar>
                    <w:top w:w="0" w:type="dxa"/>
                    <w:left w:w="100" w:type="dxa"/>
                    <w:bottom w:w="0" w:type="dxa"/>
                    <w:right w:w="100" w:type="dxa"/>
                  </w:tcMar>
                </w:tcPr>
                <w:p w14:paraId="0634405C">
                  <w:pPr>
                    <w:widowControl w:val="0"/>
                    <w:tabs>
                      <w:tab w:val="left" w:pos="450"/>
                    </w:tabs>
                    <w:spacing w:before="240" w:after="0" w:line="276" w:lineRule="auto"/>
                    <w:jc w:val="center"/>
                    <w:rPr>
                      <w:b/>
                      <w:color w:val="FF0000"/>
                      <w:sz w:val="20"/>
                      <w:szCs w:val="20"/>
                    </w:rPr>
                  </w:pPr>
                  <w:r>
                    <w:rPr>
                      <w:b/>
                      <w:color w:val="FF0000"/>
                      <w:sz w:val="20"/>
                      <w:szCs w:val="20"/>
                    </w:rPr>
                    <w:t>86.672</w:t>
                  </w:r>
                </w:p>
              </w:tc>
            </w:tr>
          </w:tbl>
          <w:p w14:paraId="15AA67A6">
            <w:pPr>
              <w:widowControl w:val="0"/>
              <w:tabs>
                <w:tab w:val="left" w:pos="450"/>
              </w:tabs>
              <w:spacing w:before="240" w:after="0" w:line="276" w:lineRule="auto"/>
              <w:jc w:val="both"/>
              <w:rPr>
                <w:sz w:val="20"/>
                <w:szCs w:val="20"/>
              </w:rPr>
            </w:pPr>
            <w:r>
              <w:rPr>
                <w:sz w:val="20"/>
                <w:szCs w:val="20"/>
              </w:rPr>
              <w:t xml:space="preserve"> </w:t>
            </w:r>
          </w:p>
          <w:p w14:paraId="455719FB">
            <w:pPr>
              <w:widowControl w:val="0"/>
              <w:tabs>
                <w:tab w:val="left" w:pos="450"/>
              </w:tabs>
              <w:spacing w:before="240" w:after="0" w:line="276" w:lineRule="auto"/>
              <w:jc w:val="both"/>
              <w:rPr>
                <w:b/>
                <w:sz w:val="20"/>
                <w:szCs w:val="20"/>
                <w:u w:val="single"/>
              </w:rPr>
            </w:pPr>
            <w:r>
              <w:rPr>
                <w:b/>
                <w:sz w:val="20"/>
                <w:szCs w:val="20"/>
                <w:u w:val="single"/>
              </w:rPr>
              <w:t>Base de cálculo KM - Média de KM</w:t>
            </w:r>
          </w:p>
          <w:p w14:paraId="398C8162">
            <w:pPr>
              <w:widowControl w:val="0"/>
              <w:tabs>
                <w:tab w:val="left" w:pos="450"/>
              </w:tabs>
              <w:spacing w:before="240" w:after="0" w:line="276" w:lineRule="auto"/>
              <w:jc w:val="both"/>
              <w:rPr>
                <w:b/>
                <w:sz w:val="20"/>
                <w:szCs w:val="20"/>
                <w:u w:val="single"/>
              </w:rPr>
            </w:pPr>
            <w:r>
              <w:rPr>
                <w:b/>
                <w:sz w:val="20"/>
                <w:szCs w:val="20"/>
                <w:u w:val="single"/>
              </w:rPr>
              <w:t xml:space="preserve"> </w:t>
            </w:r>
          </w:p>
          <w:p w14:paraId="5E4C6637">
            <w:pPr>
              <w:widowControl w:val="0"/>
              <w:tabs>
                <w:tab w:val="left" w:pos="450"/>
              </w:tabs>
              <w:spacing w:before="240" w:after="0" w:line="276" w:lineRule="auto"/>
              <w:jc w:val="both"/>
              <w:rPr>
                <w:b/>
                <w:sz w:val="20"/>
                <w:szCs w:val="20"/>
              </w:rPr>
            </w:pPr>
            <w:r>
              <w:rPr>
                <w:b/>
                <w:sz w:val="20"/>
                <w:szCs w:val="20"/>
              </w:rPr>
              <w:t>15 veículos tipo VAN 05 dias semana</w:t>
            </w:r>
          </w:p>
          <w:p w14:paraId="33FA2F1D">
            <w:pPr>
              <w:widowControl w:val="0"/>
              <w:tabs>
                <w:tab w:val="left" w:pos="450"/>
              </w:tabs>
              <w:spacing w:before="240" w:after="0" w:line="276" w:lineRule="auto"/>
              <w:jc w:val="both"/>
              <w:rPr>
                <w:sz w:val="20"/>
                <w:szCs w:val="20"/>
              </w:rPr>
            </w:pPr>
            <w:r>
              <w:rPr>
                <w:sz w:val="20"/>
                <w:szCs w:val="20"/>
              </w:rPr>
              <w:t>370 km X 05 dias da semana = 1.850 X 15 VANS = 27.750 X 48 semanas = 1.332.000</w:t>
            </w:r>
          </w:p>
          <w:p w14:paraId="1FEE2AED">
            <w:pPr>
              <w:widowControl w:val="0"/>
              <w:tabs>
                <w:tab w:val="left" w:pos="450"/>
              </w:tabs>
              <w:spacing w:before="240" w:after="0" w:line="276" w:lineRule="auto"/>
              <w:jc w:val="both"/>
              <w:rPr>
                <w:sz w:val="20"/>
                <w:szCs w:val="20"/>
              </w:rPr>
            </w:pPr>
            <w:r>
              <w:rPr>
                <w:sz w:val="20"/>
                <w:szCs w:val="20"/>
              </w:rPr>
              <w:t>Média de memória de calculo informada de</w:t>
            </w:r>
            <w:r>
              <w:rPr>
                <w:color w:val="FF0000"/>
                <w:sz w:val="20"/>
                <w:szCs w:val="20"/>
              </w:rPr>
              <w:t xml:space="preserve"> 1.067.042,6 já acrescidos 30% de aumento devido ao crescimento da demanda</w:t>
            </w:r>
            <w:r>
              <w:rPr>
                <w:sz w:val="20"/>
                <w:szCs w:val="20"/>
              </w:rPr>
              <w:t>, refere se ao quantitativo contratado em 2022, 2023 e 2024, acrescido de aumento de 02 veículos Van somam 177.000 km(estimado por veículo ano 88.500) + margem de segurança de 35%, devem ser devidamente justificadas pelo crescente número de fluxo externo de agendamentos especializados e em alta complexidade.Dados se concretizam ao visualizar o crescente número de cadastros de pacientes ao TFD, aumento significativo de quase 30%.Outro fator importante e que deve ser mencionado, pelo crescente número de solicitações inerentes aos pacientes com necessidades especiais, através das terapias atípicas que por ventura não são ofertadas no município, existindo também a realização de exames/consultas contratualizadas para a finalidade diagnóstica.Alterações a mudança recente de fluxo aos procedimentos em alta complexidade, fornecidos pela Secretaria Estadual de Saúde, em que recentemente foram cancelados, atribuem reflexo negativo a rotina de atendimentos, uma vez que, o fluxo ainda não foi determinado em sua totalidade, consequentemente, obtiveram seus pedidos cancelados e que possivelmente irão remeter consequências ao aumento da demanda do próximo processo.</w:t>
            </w:r>
          </w:p>
          <w:p w14:paraId="0EF19334">
            <w:pPr>
              <w:widowControl w:val="0"/>
              <w:tabs>
                <w:tab w:val="left" w:pos="450"/>
              </w:tabs>
              <w:spacing w:before="240" w:after="0" w:line="276" w:lineRule="auto"/>
              <w:jc w:val="both"/>
              <w:rPr>
                <w:sz w:val="20"/>
                <w:szCs w:val="20"/>
              </w:rPr>
            </w:pPr>
            <w:r>
              <w:rPr>
                <w:sz w:val="20"/>
                <w:szCs w:val="20"/>
              </w:rPr>
              <w:t xml:space="preserve"> </w:t>
            </w:r>
          </w:p>
          <w:p w14:paraId="64A8E1D8">
            <w:pPr>
              <w:widowControl w:val="0"/>
              <w:tabs>
                <w:tab w:val="left" w:pos="450"/>
              </w:tabs>
              <w:spacing w:before="240" w:after="0" w:line="276" w:lineRule="auto"/>
              <w:jc w:val="both"/>
              <w:rPr>
                <w:b/>
                <w:sz w:val="20"/>
                <w:szCs w:val="20"/>
              </w:rPr>
            </w:pPr>
            <w:r>
              <w:rPr>
                <w:b/>
                <w:sz w:val="20"/>
                <w:szCs w:val="20"/>
              </w:rPr>
              <w:t>02 veículos tipo MICRO 05 dias na semana</w:t>
            </w:r>
          </w:p>
          <w:p w14:paraId="3DECFEE6">
            <w:pPr>
              <w:widowControl w:val="0"/>
              <w:tabs>
                <w:tab w:val="left" w:pos="450"/>
              </w:tabs>
              <w:spacing w:before="240" w:after="0" w:line="276" w:lineRule="auto"/>
              <w:jc w:val="both"/>
              <w:rPr>
                <w:sz w:val="20"/>
                <w:szCs w:val="20"/>
              </w:rPr>
            </w:pPr>
            <w:r>
              <w:rPr>
                <w:sz w:val="20"/>
                <w:szCs w:val="20"/>
              </w:rPr>
              <w:t>370 km X 05 dias da semana = 1.850 X 02 MICROS = 3.700 x 48 semanas = 177.600 km</w:t>
            </w:r>
          </w:p>
          <w:p w14:paraId="47FB98D1">
            <w:pPr>
              <w:widowControl w:val="0"/>
              <w:tabs>
                <w:tab w:val="left" w:pos="450"/>
              </w:tabs>
              <w:spacing w:before="240" w:after="0" w:line="276" w:lineRule="auto"/>
              <w:jc w:val="both"/>
              <w:rPr>
                <w:sz w:val="20"/>
                <w:szCs w:val="20"/>
              </w:rPr>
            </w:pPr>
            <w:r>
              <w:rPr>
                <w:sz w:val="20"/>
                <w:szCs w:val="20"/>
              </w:rPr>
              <w:t xml:space="preserve">Média de memória de calculo informada de 25.334,4 </w:t>
            </w:r>
            <w:r>
              <w:rPr>
                <w:color w:val="FF0000"/>
                <w:sz w:val="20"/>
                <w:szCs w:val="20"/>
              </w:rPr>
              <w:t>ja acrescidos 30% de aumento devido ao crescimento da demanda</w:t>
            </w:r>
            <w:r>
              <w:rPr>
                <w:sz w:val="20"/>
                <w:szCs w:val="20"/>
              </w:rPr>
              <w:t xml:space="preserve"> refere se ao quantitativo contratado em 2022, 2023 e 2024, utilizado somente 2 dias na semana.Acrescido aumento de 05(cinco dias) de 01 veículo na semana (88.800km) e 03 dias para o outro veículo (já existente) 53.280 km na semana 142.080 km acrescidos de margem de segurança de 25%.</w:t>
            </w:r>
          </w:p>
          <w:p w14:paraId="1A226CE9">
            <w:pPr>
              <w:widowControl w:val="0"/>
              <w:tabs>
                <w:tab w:val="left" w:pos="450"/>
              </w:tabs>
              <w:spacing w:before="240" w:after="0" w:line="276" w:lineRule="auto"/>
              <w:jc w:val="both"/>
              <w:rPr>
                <w:sz w:val="20"/>
                <w:szCs w:val="20"/>
              </w:rPr>
            </w:pPr>
            <w:r>
              <w:rPr>
                <w:sz w:val="20"/>
                <w:szCs w:val="20"/>
              </w:rPr>
              <w:t>Devem ser devidamente justificadas pelo crescente número de fluxo externo de agendamentos especializados e em alta complexidade.Dados se concretizam ao visualizar o crescente número de cadastros de pacientes ao TFD, aumento significativo de quase 30%.Outro fator importante e que deve ser mencionado, pelo crescente número de solicitações inerentes aos pacientes com necessidades especiais, através das terapias atípicas que por ventura não são ofertadas no município, existindo também a realização de exames/consultas contratualizadas para a finalidade diagnóstica.Alterações a mudança recente de fluxo aos procedimentos em alta complexidade, fornecidos pela Secretaria Estadual de Saúde, em que recentemente foram cancelados, atribuem reflexo negativo a rotina de atendimentos, uma vez que, o fluxo ainda não foi determinado em sua totalidade, consequentemente, obtiveram seus pedidos cancelados e que possivelmente irão remeter consequências ao aumento da demanda do presente processo.</w:t>
            </w:r>
          </w:p>
          <w:p w14:paraId="35B8D819">
            <w:pPr>
              <w:widowControl w:val="0"/>
              <w:tabs>
                <w:tab w:val="left" w:pos="450"/>
              </w:tabs>
              <w:spacing w:before="240" w:after="0" w:line="276" w:lineRule="auto"/>
              <w:jc w:val="both"/>
              <w:rPr>
                <w:b/>
                <w:sz w:val="20"/>
                <w:szCs w:val="20"/>
              </w:rPr>
            </w:pPr>
            <w:r>
              <w:rPr>
                <w:b/>
                <w:sz w:val="20"/>
                <w:szCs w:val="20"/>
              </w:rPr>
              <w:t>06 veículos tipo CARRO BAIXO 05 dias na semana</w:t>
            </w:r>
          </w:p>
          <w:p w14:paraId="0F470C6E">
            <w:pPr>
              <w:widowControl w:val="0"/>
              <w:tabs>
                <w:tab w:val="left" w:pos="450"/>
              </w:tabs>
              <w:spacing w:before="240" w:after="0" w:line="276" w:lineRule="auto"/>
              <w:jc w:val="both"/>
              <w:rPr>
                <w:sz w:val="20"/>
                <w:szCs w:val="20"/>
              </w:rPr>
            </w:pPr>
            <w:r>
              <w:rPr>
                <w:sz w:val="20"/>
                <w:szCs w:val="20"/>
              </w:rPr>
              <w:t>370 km X 05 dias da semana = 1.850 x 03 CARROS X 48 semanas = 266.400</w:t>
            </w:r>
          </w:p>
          <w:p w14:paraId="33B4872B">
            <w:pPr>
              <w:widowControl w:val="0"/>
              <w:tabs>
                <w:tab w:val="left" w:pos="450"/>
              </w:tabs>
              <w:spacing w:before="240" w:after="0" w:line="276" w:lineRule="auto"/>
              <w:jc w:val="both"/>
              <w:rPr>
                <w:sz w:val="20"/>
                <w:szCs w:val="20"/>
              </w:rPr>
            </w:pPr>
            <w:r>
              <w:rPr>
                <w:sz w:val="20"/>
                <w:szCs w:val="20"/>
              </w:rPr>
              <w:t>Média de memória de calculo informada de 112.673,6 já</w:t>
            </w:r>
            <w:r>
              <w:rPr>
                <w:color w:val="FF0000"/>
                <w:sz w:val="20"/>
                <w:szCs w:val="20"/>
              </w:rPr>
              <w:t xml:space="preserve"> acrescidos 30% de aumento devido ao crescimento da demanda</w:t>
            </w:r>
            <w:r>
              <w:rPr>
                <w:b/>
                <w:color w:val="FF0000"/>
                <w:sz w:val="20"/>
                <w:szCs w:val="20"/>
              </w:rPr>
              <w:t xml:space="preserve"> </w:t>
            </w:r>
            <w:r>
              <w:rPr>
                <w:sz w:val="20"/>
                <w:szCs w:val="20"/>
              </w:rPr>
              <w:t>refere se ao quantitativo contratado em 2024 de 01 veículo 2 dias na semana em que foi iniciado o serviço, diante dos fatos oportunos, somente possuímos a referencia de média de 17 meses.Acrescido de aumento de 03 dias na semana ao veículo já existente (53.280 km)+ 02 veículos nos 05 dias  na semana (177.600km).</w:t>
            </w:r>
          </w:p>
          <w:p w14:paraId="2FB240BB">
            <w:pPr>
              <w:widowControl w:val="0"/>
              <w:tabs>
                <w:tab w:val="left" w:pos="450"/>
              </w:tabs>
              <w:spacing w:before="240" w:after="0" w:line="276" w:lineRule="auto"/>
              <w:jc w:val="both"/>
              <w:rPr>
                <w:sz w:val="20"/>
                <w:szCs w:val="20"/>
              </w:rPr>
            </w:pPr>
            <w:r>
              <w:rPr>
                <w:sz w:val="20"/>
                <w:szCs w:val="20"/>
              </w:rPr>
              <w:t>Devem ser devidamente justificadas pelo crescente número de fluxo externo de agendamentos especializados e em alta complexidade.Dados se concretizam ao visualizar o crescente número de cadastros de pacientes ao TFD, aumento significativo de quase 30%.Outro fator importante e que deve ser mencionado, pelo crescente número de solicitações inerentes aos pacientes com necessidades especiais, através das terapias atípicas que por ventura não são ofertadas no município, existindo também a realização de exames/consultas contratualizadas para a finalidade diagnóstica.Alterações a mudança recente de fluxo aos procedimentos em alta complexidade, fornecidos pela Secretaria Estadual de Saúde, em que recentemente foram cancelados, atribuem reflexo negativo a rotina de atendimentos, uma vez que, o fluxo ainda não foi determinado em sua totalidade, consequentemente, obtiveram seus pedidos cancelados e que possivelmente irão remeter consequências ao aumento da demanda do próximo processo.</w:t>
            </w:r>
          </w:p>
          <w:p w14:paraId="646A240B">
            <w:pPr>
              <w:widowControl w:val="0"/>
              <w:tabs>
                <w:tab w:val="left" w:pos="450"/>
              </w:tabs>
              <w:spacing w:after="0" w:line="276" w:lineRule="auto"/>
              <w:jc w:val="both"/>
              <w:rPr>
                <w:sz w:val="23"/>
                <w:szCs w:val="23"/>
                <w:highlight w:val="yellow"/>
              </w:rPr>
            </w:pPr>
            <w:r>
              <w:rPr>
                <w:sz w:val="20"/>
                <w:szCs w:val="20"/>
              </w:rPr>
              <w:t xml:space="preserve">A importância do carro baixo é devido aos casos de pacientes imunodeprimidos, imunossuprimidos como paciente oncológicos, transplantados e com outras comorbidade que justificam o uso do carro baixo para deslocamento individual sem que tenham contato com outros pacientes.Devido a crescente demanda de pacientes em condições conforme acima descritos, a principalmente a referencia de oncologia, justifica se o o aumento a requisição ao quantitativo de veículos disponíveis, não sendo necessário o aumento a quilometragem, devido a referencia de rota mais específica.Considera se neste sentido, ou aumento a disponibilidade na totalidade de 06 (seis) veículos disponíveis.Assim, observa se  a referencia da quilometragem </w:t>
            </w:r>
            <w:r>
              <w:rPr>
                <w:b/>
                <w:sz w:val="20"/>
                <w:szCs w:val="20"/>
              </w:rPr>
              <w:t>112.673,6.Refere se a memória de cálculo recentemente instituída ao setor de TFD a referencia do 2° Quadrimestre, com a inclusão de 228 novos pacientes em oncologia, que irão acrescenta ao total de pacientes transportados a oncologia já em tratamento continuo, mensurados ao quantitativo 4.270(quatro mil e duzentos e setenta) dentre pacientes e acompanhantes ao período mencionado.</w:t>
            </w:r>
          </w:p>
          <w:p w14:paraId="56F5993B">
            <w:pPr>
              <w:widowControl w:val="0"/>
              <w:tabs>
                <w:tab w:val="left" w:pos="450"/>
              </w:tabs>
              <w:spacing w:after="0" w:line="240" w:lineRule="auto"/>
              <w:jc w:val="both"/>
              <w:rPr>
                <w:sz w:val="20"/>
                <w:szCs w:val="20"/>
              </w:rPr>
            </w:pPr>
          </w:p>
          <w:p w14:paraId="2704411B">
            <w:pPr>
              <w:widowControl w:val="0"/>
              <w:tabs>
                <w:tab w:val="left" w:pos="450"/>
              </w:tabs>
              <w:spacing w:after="0" w:line="240" w:lineRule="auto"/>
              <w:jc w:val="both"/>
              <w:rPr>
                <w:sz w:val="20"/>
                <w:szCs w:val="20"/>
              </w:rPr>
            </w:pPr>
            <w:r>
              <w:rPr>
                <w:sz w:val="20"/>
                <w:szCs w:val="20"/>
              </w:rPr>
              <w:t>Obs: Será realizado o arredondamento da quilometragem no Termo de Referência.</w:t>
            </w:r>
          </w:p>
        </w:tc>
      </w:tr>
    </w:tbl>
    <w:p w14:paraId="3350DD61">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p w14:paraId="4049ACFA">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23"/>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25F06344">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1F3863"/>
          </w:tcPr>
          <w:p w14:paraId="657DCB62">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color w:val="000000"/>
                <w:sz w:val="23"/>
                <w:szCs w:val="23"/>
              </w:rPr>
            </w:pPr>
            <w:r>
              <w:rPr>
                <w:color w:val="000000"/>
                <w:sz w:val="23"/>
                <w:szCs w:val="23"/>
              </w:rPr>
              <w:t>LEVANTAMENTO DE MERCADO:</w:t>
            </w:r>
          </w:p>
        </w:tc>
      </w:tr>
      <w:tr w14:paraId="353DFC43">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761" w:hRule="atLeast"/>
        </w:trPr>
        <w:tc>
          <w:tcPr>
            <w:tcW w:w="10155" w:type="dxa"/>
            <w:tcBorders>
              <w:top w:val="single" w:color="00000A" w:sz="4" w:space="0"/>
              <w:left w:val="single" w:color="00000A" w:sz="4" w:space="0"/>
              <w:bottom w:val="single" w:color="00000A" w:sz="4" w:space="0"/>
              <w:right w:val="single" w:color="00000A" w:sz="4" w:space="0"/>
            </w:tcBorders>
            <w:shd w:val="clear" w:color="auto" w:fill="auto"/>
          </w:tcPr>
          <w:p w14:paraId="121CFA6D">
            <w:pPr>
              <w:widowControl w:val="0"/>
              <w:spacing w:after="0" w:line="276" w:lineRule="auto"/>
              <w:ind w:left="567"/>
              <w:jc w:val="both"/>
              <w:rPr>
                <w:color w:val="000000"/>
                <w:sz w:val="23"/>
                <w:szCs w:val="23"/>
              </w:rPr>
            </w:pPr>
          </w:p>
          <w:p w14:paraId="1D72AEC7">
            <w:r>
              <w:t>Foram analisadas as seguintes alternativas de execução para o serviço de transporte de pacientes, conforme o art. 23 da Lei nº 14.133/2021:</w:t>
            </w:r>
          </w:p>
          <w:tbl>
            <w:tblPr>
              <w:tblStyle w:val="9"/>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383"/>
              <w:gridCol w:w="2502"/>
              <w:gridCol w:w="3118"/>
              <w:gridCol w:w="1819"/>
            </w:tblGrid>
            <w:tr w14:paraId="3AC2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2338" w:type="dxa"/>
                  <w:vAlign w:val="center"/>
                </w:tcPr>
                <w:p w14:paraId="53A7C5E2">
                  <w:r>
                    <w:t>Modelo de Solução</w:t>
                  </w:r>
                </w:p>
              </w:tc>
              <w:tc>
                <w:tcPr>
                  <w:tcW w:w="2472" w:type="dxa"/>
                  <w:vAlign w:val="center"/>
                </w:tcPr>
                <w:p w14:paraId="665F54C7">
                  <w:r>
                    <w:t>Vantagens</w:t>
                  </w:r>
                </w:p>
              </w:tc>
              <w:tc>
                <w:tcPr>
                  <w:tcW w:w="3088" w:type="dxa"/>
                  <w:vAlign w:val="center"/>
                </w:tcPr>
                <w:p w14:paraId="724442C9">
                  <w:r>
                    <w:t>Desvantagens (e Relação com a Escolha)</w:t>
                  </w:r>
                </w:p>
              </w:tc>
              <w:tc>
                <w:tcPr>
                  <w:tcW w:w="1774" w:type="dxa"/>
                  <w:vAlign w:val="center"/>
                </w:tcPr>
                <w:p w14:paraId="3FC319D2">
                  <w:r>
                    <w:t>Adequação à Demanda TFD/Saúde Auditiva</w:t>
                  </w:r>
                </w:p>
              </w:tc>
            </w:tr>
            <w:tr w14:paraId="1208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2338" w:type="dxa"/>
                  <w:vAlign w:val="center"/>
                </w:tcPr>
                <w:p w14:paraId="505F9E9F">
                  <w:r>
                    <w:rPr>
                      <w:rStyle w:val="35"/>
                    </w:rPr>
                    <w:t>Fretamento Contínuo com Remuneração por Km Rodado (Escolha)</w:t>
                  </w:r>
                </w:p>
              </w:tc>
              <w:tc>
                <w:tcPr>
                  <w:tcW w:w="2472" w:type="dxa"/>
                  <w:vAlign w:val="center"/>
                </w:tcPr>
                <w:p w14:paraId="7F552D39">
                  <w:r>
                    <w:rPr>
                      <w:rStyle w:val="35"/>
                    </w:rPr>
                    <w:t>Combina o melhor dos dois mundos:</w:t>
                  </w:r>
                  <w:r>
                    <w:t xml:space="preserve"> Garante a </w:t>
                  </w:r>
                  <w:r>
                    <w:rPr>
                      <w:rStyle w:val="35"/>
                    </w:rPr>
                    <w:t>disponibilidade</w:t>
                  </w:r>
                  <w:r>
                    <w:t xml:space="preserve"> da frota (essencialidade) e assegura o pagamento apenas pelo </w:t>
                  </w:r>
                  <w:r>
                    <w:rPr>
                      <w:rStyle w:val="35"/>
                    </w:rPr>
                    <w:t>uso efetivo</w:t>
                  </w:r>
                  <w:r>
                    <w:t xml:space="preserve"> (economicidade).</w:t>
                  </w:r>
                </w:p>
              </w:tc>
              <w:tc>
                <w:tcPr>
                  <w:tcW w:w="3088" w:type="dxa"/>
                  <w:vAlign w:val="center"/>
                </w:tcPr>
                <w:p w14:paraId="01B4E064">
                  <w:r>
                    <w:t>Exige fiscalização rigorosa do rastreamento (Km rodado) para evitar fraudes.</w:t>
                  </w:r>
                </w:p>
              </w:tc>
              <w:tc>
                <w:tcPr>
                  <w:tcW w:w="1774" w:type="dxa"/>
                  <w:vAlign w:val="center"/>
                </w:tcPr>
                <w:p w14:paraId="13111966">
                  <w:r>
                    <w:rPr>
                      <w:rStyle w:val="35"/>
                    </w:rPr>
                    <w:t>Alta.</w:t>
                  </w:r>
                  <w:r>
                    <w:t xml:space="preserve"> Solução ideal para serviço essencial com demanda variável.</w:t>
                  </w:r>
                </w:p>
              </w:tc>
            </w:tr>
            <w:tr w14:paraId="5149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2338" w:type="dxa"/>
                  <w:vAlign w:val="center"/>
                </w:tcPr>
                <w:p w14:paraId="6DAFBDBD">
                  <w:r>
                    <w:rPr>
                      <w:rStyle w:val="35"/>
                    </w:rPr>
                    <w:t>Convênios/Consórcios</w:t>
                  </w:r>
                </w:p>
              </w:tc>
              <w:tc>
                <w:tcPr>
                  <w:tcW w:w="2472" w:type="dxa"/>
                  <w:vAlign w:val="center"/>
                </w:tcPr>
                <w:p w14:paraId="0A0EDA86">
                  <w:r>
                    <w:t>Rateio de custos, redução de despesas administrativas.</w:t>
                  </w:r>
                </w:p>
              </w:tc>
              <w:tc>
                <w:tcPr>
                  <w:tcW w:w="3088" w:type="dxa"/>
                  <w:vAlign w:val="center"/>
                </w:tcPr>
                <w:p w14:paraId="76E1F8A7">
                  <w:r>
                    <w:rPr>
                      <w:rStyle w:val="35"/>
                    </w:rPr>
                    <w:t>Dependência de terceiros, burocracia</w:t>
                  </w:r>
                  <w:r>
                    <w:t xml:space="preserve"> e menor autonomia na gestão e tempo de resposta. </w:t>
                  </w:r>
                  <w:r>
                    <w:rPr>
                      <w:rStyle w:val="35"/>
                    </w:rPr>
                    <w:t>Inviável</w:t>
                  </w:r>
                  <w:r>
                    <w:t xml:space="preserve"> para o TFD, que requer </w:t>
                  </w:r>
                  <w:r>
                    <w:rPr>
                      <w:rStyle w:val="35"/>
                    </w:rPr>
                    <w:t>agilidade e exclusividade</w:t>
                  </w:r>
                  <w:r>
                    <w:t xml:space="preserve"> para o transporte de pacientes em condições de saúde delicadas.</w:t>
                  </w:r>
                </w:p>
              </w:tc>
              <w:tc>
                <w:tcPr>
                  <w:tcW w:w="1774" w:type="dxa"/>
                  <w:vAlign w:val="center"/>
                </w:tcPr>
                <w:p w14:paraId="560D24CA">
                  <w:r>
                    <w:rPr>
                      <w:rStyle w:val="35"/>
                    </w:rPr>
                    <w:t>Média/Baixa.</w:t>
                  </w:r>
                  <w:r>
                    <w:t xml:space="preserve"> Não garante a exclusividade e o tempo de resposta exigido.</w:t>
                  </w:r>
                </w:p>
              </w:tc>
            </w:tr>
            <w:tr w14:paraId="07F8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2338" w:type="dxa"/>
                  <w:vAlign w:val="center"/>
                </w:tcPr>
                <w:p w14:paraId="010DDA12">
                  <w:r>
                    <w:rPr>
                      <w:rStyle w:val="35"/>
                    </w:rPr>
                    <w:t>Credenciamento</w:t>
                  </w:r>
                </w:p>
              </w:tc>
              <w:tc>
                <w:tcPr>
                  <w:tcW w:w="2472" w:type="dxa"/>
                  <w:vAlign w:val="center"/>
                </w:tcPr>
                <w:p w14:paraId="0B73A1C2">
                  <w:r>
                    <w:t>Amplia competitividade, assegura disponibilidade regional.</w:t>
                  </w:r>
                </w:p>
              </w:tc>
              <w:tc>
                <w:tcPr>
                  <w:tcW w:w="3088" w:type="dxa"/>
                  <w:vAlign w:val="center"/>
                </w:tcPr>
                <w:p w14:paraId="6E115250">
                  <w:r>
                    <w:rPr>
                      <w:rStyle w:val="35"/>
                    </w:rPr>
                    <w:t>Complexidade na gestão de múltiplos contratos</w:t>
                  </w:r>
                  <w:r>
                    <w:t xml:space="preserve"> e dificuldade de padronização e fiscalização. </w:t>
                  </w:r>
                  <w:r>
                    <w:rPr>
                      <w:rStyle w:val="35"/>
                    </w:rPr>
                    <w:t>Inadequado</w:t>
                  </w:r>
                  <w:r>
                    <w:t xml:space="preserve"> como solução única, pois a dispersão de fornecedores pode comprometer a </w:t>
                  </w:r>
                  <w:r>
                    <w:rPr>
                      <w:rStyle w:val="35"/>
                    </w:rPr>
                    <w:t>qualidade e a padronização</w:t>
                  </w:r>
                  <w:r>
                    <w:t xml:space="preserve"> dos veículos e motoristas exigidas para o transporte de pacientes.</w:t>
                  </w:r>
                </w:p>
              </w:tc>
              <w:tc>
                <w:tcPr>
                  <w:tcW w:w="1774" w:type="dxa"/>
                  <w:vAlign w:val="center"/>
                </w:tcPr>
                <w:p w14:paraId="298FAD4E">
                  <w:r>
                    <w:rPr>
                      <w:rStyle w:val="35"/>
                    </w:rPr>
                    <w:t>Média.</w:t>
                  </w:r>
                  <w:r>
                    <w:t xml:space="preserve"> Pode ser complementar, mas não ideal como solução única para a frota principal.</w:t>
                  </w:r>
                </w:p>
              </w:tc>
            </w:tr>
            <w:tr w14:paraId="181C0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2338" w:type="dxa"/>
                  <w:vAlign w:val="center"/>
                </w:tcPr>
                <w:p w14:paraId="5B4731F4">
                  <w:r>
                    <w:rPr>
                      <w:rStyle w:val="35"/>
                    </w:rPr>
                    <w:t>Transporte Próprio</w:t>
                  </w:r>
                </w:p>
              </w:tc>
              <w:tc>
                <w:tcPr>
                  <w:tcW w:w="2472" w:type="dxa"/>
                  <w:vAlign w:val="center"/>
                </w:tcPr>
                <w:p w14:paraId="55545081">
                  <w:r>
                    <w:t>Autonomia plena, controle total sobre a frota.</w:t>
                  </w:r>
                </w:p>
              </w:tc>
              <w:tc>
                <w:tcPr>
                  <w:tcW w:w="3088" w:type="dxa"/>
                  <w:vAlign w:val="center"/>
                </w:tcPr>
                <w:p w14:paraId="1EA1502A">
                  <w:r>
                    <w:rPr>
                      <w:rStyle w:val="35"/>
                    </w:rPr>
                    <w:t>Alto investimento inicial</w:t>
                  </w:r>
                  <w:r>
                    <w:t xml:space="preserve"> e altos custos de manutenção e pessoal. </w:t>
                  </w:r>
                  <w:r>
                    <w:rPr>
                      <w:rStyle w:val="35"/>
                    </w:rPr>
                    <w:t>Inviável</w:t>
                  </w:r>
                  <w:r>
                    <w:t xml:space="preserve"> pela inexistência de frota própria e alto custo de implementação imediata, o que comprometeria o princípio da </w:t>
                  </w:r>
                  <w:r>
                    <w:rPr>
                      <w:rStyle w:val="35"/>
                    </w:rPr>
                    <w:t>economicidade</w:t>
                  </w:r>
                  <w:r>
                    <w:t xml:space="preserve"> e a urgência da contratação.</w:t>
                  </w:r>
                </w:p>
              </w:tc>
              <w:tc>
                <w:tcPr>
                  <w:tcW w:w="1774" w:type="dxa"/>
                  <w:vAlign w:val="center"/>
                </w:tcPr>
                <w:p w14:paraId="2D8D12EE">
                  <w:r>
                    <w:rPr>
                      <w:rStyle w:val="35"/>
                    </w:rPr>
                    <w:t>Baixa.</w:t>
                  </w:r>
                  <w:r>
                    <w:t xml:space="preserve"> Inviável por falta de frota e alto custo de implementação.</w:t>
                  </w:r>
                </w:p>
              </w:tc>
            </w:tr>
          </w:tbl>
          <w:p w14:paraId="0721145D">
            <w:pPr>
              <w:pStyle w:val="4"/>
            </w:pPr>
            <w:r>
              <w:t>Justificativa da Escolha do Modelo</w:t>
            </w:r>
          </w:p>
          <w:p w14:paraId="1B16F0A1">
            <w:r>
              <w:t xml:space="preserve">A escolha pelo modelo de </w:t>
            </w:r>
            <w:r>
              <w:rPr>
                <w:rStyle w:val="35"/>
              </w:rPr>
              <w:t>Fretamento com Remuneração por Quilômetro Rodado</w:t>
            </w:r>
            <w:r>
              <w:t xml:space="preserve"> é a mais vantajosa para a Administração Pública de Nova Friburgo, vinculando-se aos princípios da </w:t>
            </w:r>
            <w:r>
              <w:rPr>
                <w:rStyle w:val="35"/>
              </w:rPr>
              <w:t>economicidade, eficiência e, principalmente, da continuidade do serviço público essencial</w:t>
            </w:r>
            <w:r>
              <w:t>.</w:t>
            </w:r>
          </w:p>
          <w:p w14:paraId="21EDA775">
            <w:r>
              <w:t xml:space="preserve">O serviço de transporte de pacientes TFD e Saúde Auditiva é classificado como </w:t>
            </w:r>
            <w:r>
              <w:rPr>
                <w:rStyle w:val="35"/>
              </w:rPr>
              <w:t>essencial e contínuo</w:t>
            </w:r>
            <w:r>
              <w:t xml:space="preserve">, não podendo sofrer interrupções ou incertezas de disponibilidade. A </w:t>
            </w:r>
            <w:r>
              <w:rPr>
                <w:rStyle w:val="35"/>
              </w:rPr>
              <w:t>disponibilidade garantida</w:t>
            </w:r>
            <w:r>
              <w:t xml:space="preserve"> pelo fretamento é crucial. No entanto, para evitar o custo fixo de um fretamento tradicional (que paga pela ociosidade), a </w:t>
            </w:r>
            <w:r>
              <w:rPr>
                <w:rStyle w:val="35"/>
              </w:rPr>
              <w:t>remuneração por quilômetro rodado</w:t>
            </w:r>
            <w:r>
              <w:t xml:space="preserve"> assegura que o pagamento seja feito apenas pelo uso efetivo do serviço, promovendo a </w:t>
            </w:r>
            <w:r>
              <w:rPr>
                <w:rStyle w:val="35"/>
              </w:rPr>
              <w:t>economicidade</w:t>
            </w:r>
            <w:r>
              <w:t xml:space="preserve"> e o controle da despesa, desde que haja um sistema de fiscalização eficiente (rastreamento, conforme previsto no TR). As alternativas de mercado, como a Contratação por Demanda Pura ou o Credenciamento, apresentam um </w:t>
            </w:r>
            <w:r>
              <w:rPr>
                <w:rStyle w:val="35"/>
              </w:rPr>
              <w:t>risco operacional inaceitável</w:t>
            </w:r>
            <w:r>
              <w:t xml:space="preserve"> para o transporte de pacientes que dependem de horários e agendamentos médicos em outros municípios, podendo causar a desassistência.</w:t>
            </w:r>
          </w:p>
        </w:tc>
      </w:tr>
    </w:tbl>
    <w:p w14:paraId="26035821">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24"/>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0A60D01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1F3863"/>
          </w:tcPr>
          <w:p w14:paraId="6958AFE5">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ESTIMATIVAS DE PREÇOS DA CONTRATAÇÃO:</w:t>
            </w:r>
          </w:p>
        </w:tc>
      </w:tr>
      <w:tr w14:paraId="756CFC28">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2094" w:hRule="atLeast"/>
        </w:trPr>
        <w:tc>
          <w:tcPr>
            <w:tcW w:w="10155" w:type="dxa"/>
            <w:tcBorders>
              <w:top w:val="single" w:color="00000A" w:sz="4" w:space="0"/>
              <w:left w:val="single" w:color="00000A" w:sz="4" w:space="0"/>
              <w:bottom w:val="single" w:color="00000A" w:sz="4" w:space="0"/>
              <w:right w:val="single" w:color="00000A" w:sz="4" w:space="0"/>
            </w:tcBorders>
            <w:shd w:val="clear" w:color="auto" w:fill="auto"/>
          </w:tcPr>
          <w:p w14:paraId="3F1BCB69">
            <w:pPr>
              <w:widowControl w:val="0"/>
              <w:spacing w:after="0" w:line="276" w:lineRule="auto"/>
              <w:ind w:right="113"/>
              <w:jc w:val="both"/>
              <w:rPr>
                <w:color w:val="000000"/>
                <w:sz w:val="23"/>
                <w:szCs w:val="23"/>
              </w:rPr>
            </w:pPr>
          </w:p>
          <w:p w14:paraId="3C1C53F4">
            <w:pPr>
              <w:widowControl w:val="0"/>
              <w:spacing w:after="0" w:line="276" w:lineRule="auto"/>
              <w:ind w:left="57"/>
              <w:jc w:val="both"/>
              <w:rPr>
                <w:color w:val="000000"/>
                <w:sz w:val="23"/>
                <w:szCs w:val="23"/>
              </w:rPr>
            </w:pPr>
            <w:r>
              <w:rPr>
                <w:color w:val="000000"/>
                <w:sz w:val="23"/>
                <w:szCs w:val="23"/>
              </w:rPr>
              <w:t>Dentro do presente estudo, foram analisadas contratações feitas por outros órgãos e entidades, por meio de consultas a outros editais, contratações estas, semelhantes aos serviços já prestados nesta Secretaria de Saúde através de Processos anteriores, sendo este modelo de contratação a forma que melhor atende as necessidades desta Secretaria de Saúde, conforme segue:</w:t>
            </w:r>
          </w:p>
          <w:p w14:paraId="25CD875E">
            <w:pPr>
              <w:widowControl w:val="0"/>
              <w:spacing w:after="0" w:line="276" w:lineRule="auto"/>
              <w:ind w:left="57"/>
              <w:jc w:val="both"/>
              <w:rPr>
                <w:color w:val="000000"/>
                <w:sz w:val="23"/>
                <w:szCs w:val="23"/>
              </w:rPr>
            </w:pPr>
          </w:p>
          <w:p w14:paraId="58CEDED0">
            <w:pPr>
              <w:widowControl w:val="0"/>
              <w:spacing w:after="0" w:line="276" w:lineRule="auto"/>
              <w:ind w:left="57"/>
              <w:jc w:val="both"/>
              <w:rPr>
                <w:sz w:val="23"/>
                <w:szCs w:val="23"/>
              </w:rPr>
            </w:pPr>
            <w:r>
              <w:rPr>
                <w:color w:val="000000"/>
                <w:sz w:val="23"/>
                <w:szCs w:val="23"/>
              </w:rPr>
              <w:t>Fora analisado também as contratações públicas de alguns entes públicos, para levantamento dos valores contratados por quilometragem para cada tipo de veículo, conforme vejamos:</w:t>
            </w:r>
          </w:p>
          <w:p w14:paraId="1346BE36">
            <w:pPr>
              <w:widowControl w:val="0"/>
              <w:spacing w:after="0" w:line="276" w:lineRule="auto"/>
              <w:ind w:left="57"/>
              <w:jc w:val="both"/>
              <w:rPr>
                <w:color w:val="000000"/>
                <w:sz w:val="23"/>
                <w:szCs w:val="23"/>
              </w:rPr>
            </w:pPr>
          </w:p>
          <w:p w14:paraId="1BFBDFA2">
            <w:pPr>
              <w:widowControl w:val="0"/>
              <w:spacing w:after="0" w:line="276" w:lineRule="auto"/>
              <w:ind w:left="57"/>
              <w:jc w:val="both"/>
            </w:pPr>
            <w:r>
              <w:rPr>
                <w:b/>
                <w:color w:val="000000"/>
                <w:sz w:val="23"/>
                <w:szCs w:val="23"/>
                <w:u w:val="single"/>
              </w:rPr>
              <w:t>1- Mínimo de 15 (quinze) lugares para passageiros:</w:t>
            </w:r>
          </w:p>
          <w:p w14:paraId="28BEFE4E">
            <w:pPr>
              <w:widowControl w:val="0"/>
              <w:spacing w:after="0" w:line="276" w:lineRule="auto"/>
              <w:ind w:left="57"/>
              <w:jc w:val="both"/>
              <w:rPr>
                <w:sz w:val="23"/>
                <w:szCs w:val="23"/>
              </w:rPr>
            </w:pPr>
          </w:p>
          <w:p w14:paraId="422EAF82">
            <w:pPr>
              <w:widowControl w:val="0"/>
              <w:spacing w:after="0" w:line="276" w:lineRule="auto"/>
              <w:ind w:left="57"/>
              <w:jc w:val="both"/>
            </w:pPr>
            <w:r>
              <w:rPr>
                <w:color w:val="000000"/>
                <w:sz w:val="23"/>
                <w:szCs w:val="23"/>
              </w:rPr>
              <w:t xml:space="preserve">-Universidade Federal da Bahia: </w:t>
            </w:r>
          </w:p>
          <w:p w14:paraId="140FD869">
            <w:pPr>
              <w:widowControl w:val="0"/>
              <w:spacing w:after="0" w:line="276" w:lineRule="auto"/>
              <w:ind w:left="57"/>
              <w:jc w:val="both"/>
            </w:pPr>
            <w:r>
              <w:fldChar w:fldCharType="begin"/>
            </w:r>
            <w:r>
              <w:instrText xml:space="preserve"> HYPERLINK "https://sipac.ufba.br/public/jsp/processos/processo_detalhado.jsf?id=1241554" \h </w:instrText>
            </w:r>
            <w:r>
              <w:fldChar w:fldCharType="separate"/>
            </w:r>
            <w:r>
              <w:rPr>
                <w:color w:val="000000"/>
                <w:sz w:val="23"/>
                <w:szCs w:val="23"/>
              </w:rPr>
              <w:t>https://sipac.ufba.br/public/jsp/processos/processo_detalhado.jsf?id=1241554</w:t>
            </w:r>
            <w:r>
              <w:rPr>
                <w:color w:val="000000"/>
                <w:sz w:val="23"/>
                <w:szCs w:val="23"/>
              </w:rPr>
              <w:fldChar w:fldCharType="end"/>
            </w:r>
            <w:r>
              <w:rPr>
                <w:color w:val="000000"/>
                <w:sz w:val="23"/>
                <w:szCs w:val="23"/>
              </w:rPr>
              <w:t>#: R$ 6,50</w:t>
            </w:r>
          </w:p>
          <w:p w14:paraId="3EEDE0E1">
            <w:pPr>
              <w:widowControl w:val="0"/>
              <w:spacing w:after="0" w:line="276" w:lineRule="auto"/>
              <w:ind w:left="57"/>
              <w:jc w:val="both"/>
              <w:rPr>
                <w:sz w:val="23"/>
                <w:szCs w:val="23"/>
              </w:rPr>
            </w:pPr>
          </w:p>
          <w:p w14:paraId="46D8DC13">
            <w:pPr>
              <w:widowControl w:val="0"/>
              <w:spacing w:after="0" w:line="276" w:lineRule="auto"/>
              <w:ind w:left="57"/>
              <w:jc w:val="both"/>
            </w:pPr>
            <w:r>
              <w:rPr>
                <w:color w:val="000000"/>
                <w:sz w:val="23"/>
                <w:szCs w:val="23"/>
                <w:u w:val="single"/>
              </w:rPr>
              <w:t xml:space="preserve">-Prefeitura de Itatiba/SP: </w:t>
            </w:r>
          </w:p>
          <w:p w14:paraId="087F918F">
            <w:pPr>
              <w:widowControl w:val="0"/>
              <w:spacing w:after="0" w:line="276" w:lineRule="auto"/>
              <w:ind w:left="57"/>
              <w:jc w:val="both"/>
            </w:pPr>
            <w:r>
              <w:fldChar w:fldCharType="begin"/>
            </w:r>
            <w:r>
              <w:instrText xml:space="preserve"> HYPERLINK "https://www.itatiba.sp.gov.br/empresa/licitacoes/pregao/2023-pregao-eletronico-1242023-o-registro-de-precos-pelo-prazo-de-doze-meses-para-eventual-contratacao-de-empresa-especializada-em-servico-de-transporte-de-pessoas" \h </w:instrText>
            </w:r>
            <w:r>
              <w:fldChar w:fldCharType="separate"/>
            </w:r>
            <w:r>
              <w:rPr>
                <w:color w:val="000000"/>
                <w:sz w:val="23"/>
                <w:szCs w:val="23"/>
                <w:u w:val="single"/>
              </w:rPr>
              <w:t>https://www.itatiba.sp.gov.br/empresa/licitacoes/pregao/2023-pregao-eletronico-1242023-o-registro-de-precos-pelo-prazo-de-doze-meses-para-eventual-contratacao-de-empresa-especializada-em-servico-de-transporte-de-pessoas</w:t>
            </w:r>
            <w:r>
              <w:rPr>
                <w:color w:val="000000"/>
                <w:sz w:val="23"/>
                <w:szCs w:val="23"/>
                <w:u w:val="single"/>
              </w:rPr>
              <w:fldChar w:fldCharType="end"/>
            </w:r>
            <w:r>
              <w:rPr>
                <w:color w:val="000000"/>
                <w:sz w:val="23"/>
                <w:szCs w:val="23"/>
                <w:u w:val="single"/>
              </w:rPr>
              <w:t>:</w:t>
            </w:r>
            <w:r>
              <w:rPr>
                <w:color w:val="000000"/>
                <w:sz w:val="23"/>
                <w:szCs w:val="23"/>
              </w:rPr>
              <w:t xml:space="preserve"> R$ 6,36</w:t>
            </w:r>
          </w:p>
          <w:p w14:paraId="20FFC775">
            <w:pPr>
              <w:widowControl w:val="0"/>
              <w:spacing w:after="0" w:line="276" w:lineRule="auto"/>
              <w:ind w:left="57"/>
              <w:jc w:val="both"/>
              <w:rPr>
                <w:sz w:val="23"/>
                <w:szCs w:val="23"/>
              </w:rPr>
            </w:pPr>
          </w:p>
          <w:p w14:paraId="0F93A94D">
            <w:pPr>
              <w:widowControl w:val="0"/>
              <w:spacing w:after="0" w:line="276" w:lineRule="auto"/>
              <w:ind w:left="57"/>
              <w:jc w:val="both"/>
            </w:pPr>
            <w:r>
              <w:rPr>
                <w:b/>
                <w:color w:val="000000"/>
                <w:sz w:val="23"/>
                <w:szCs w:val="23"/>
                <w:u w:val="single"/>
              </w:rPr>
              <w:t>2- Mínimo de 25 (vinte e cinco) lugares para passageiros:</w:t>
            </w:r>
          </w:p>
          <w:p w14:paraId="2ED2A1A0">
            <w:pPr>
              <w:widowControl w:val="0"/>
              <w:spacing w:after="0" w:line="276" w:lineRule="auto"/>
              <w:ind w:left="57"/>
              <w:jc w:val="both"/>
              <w:rPr>
                <w:sz w:val="23"/>
                <w:szCs w:val="23"/>
              </w:rPr>
            </w:pPr>
          </w:p>
          <w:p w14:paraId="618F48DF">
            <w:pPr>
              <w:widowControl w:val="0"/>
              <w:spacing w:after="0" w:line="276" w:lineRule="auto"/>
              <w:ind w:left="57"/>
              <w:jc w:val="both"/>
            </w:pPr>
            <w:r>
              <w:rPr>
                <w:color w:val="000000"/>
                <w:sz w:val="23"/>
                <w:szCs w:val="23"/>
                <w:u w:val="single"/>
              </w:rPr>
              <w:t xml:space="preserve">-Prefeitura de Itatiba/SP: </w:t>
            </w:r>
          </w:p>
          <w:p w14:paraId="50EB735E">
            <w:pPr>
              <w:widowControl w:val="0"/>
              <w:spacing w:after="0" w:line="276" w:lineRule="auto"/>
              <w:ind w:left="57"/>
              <w:jc w:val="both"/>
            </w:pPr>
            <w:r>
              <w:fldChar w:fldCharType="begin"/>
            </w:r>
            <w:r>
              <w:instrText xml:space="preserve"> HYPERLINK "https://www.itatiba.sp.gov.br/empresa/licitacoes/pregao/2023-pregao-eletronico-1242023-o-registro-de-precos-pelo-prazo-de-doze-meses-para-eventual-contratacao-de-empresa-especializada-em-servico-de-transporte-de-pessoas" \h </w:instrText>
            </w:r>
            <w:r>
              <w:fldChar w:fldCharType="separate"/>
            </w:r>
            <w:r>
              <w:rPr>
                <w:color w:val="000000"/>
                <w:sz w:val="23"/>
                <w:szCs w:val="23"/>
                <w:u w:val="single"/>
              </w:rPr>
              <w:t>https://www.itatiba.sp.gov.br/empresa/licitacoes/pregao/2023-pregao-eletronico-1242023-o-registro-de-precos-pelo-prazo-de-doze-meses-para-eventual-contratacao-de-empresa-especializada-em-servico-de-transporte-de-pessoas</w:t>
            </w:r>
            <w:r>
              <w:rPr>
                <w:color w:val="000000"/>
                <w:sz w:val="23"/>
                <w:szCs w:val="23"/>
                <w:u w:val="single"/>
              </w:rPr>
              <w:fldChar w:fldCharType="end"/>
            </w:r>
            <w:r>
              <w:rPr>
                <w:color w:val="000000"/>
                <w:sz w:val="23"/>
                <w:szCs w:val="23"/>
                <w:u w:val="single"/>
              </w:rPr>
              <w:t>:</w:t>
            </w:r>
            <w:r>
              <w:rPr>
                <w:color w:val="000000"/>
                <w:sz w:val="23"/>
                <w:szCs w:val="23"/>
              </w:rPr>
              <w:t xml:space="preserve"> R$7,62</w:t>
            </w:r>
          </w:p>
          <w:p w14:paraId="73B5CD9D">
            <w:pPr>
              <w:widowControl w:val="0"/>
              <w:spacing w:after="0" w:line="276" w:lineRule="auto"/>
              <w:ind w:left="57"/>
              <w:jc w:val="both"/>
              <w:rPr>
                <w:color w:val="000000"/>
                <w:sz w:val="23"/>
                <w:szCs w:val="23"/>
              </w:rPr>
            </w:pPr>
          </w:p>
          <w:p w14:paraId="209DF287">
            <w:pPr>
              <w:widowControl w:val="0"/>
              <w:spacing w:after="0" w:line="276" w:lineRule="auto"/>
              <w:ind w:left="57"/>
              <w:jc w:val="both"/>
            </w:pPr>
            <w:r>
              <w:rPr>
                <w:b/>
                <w:color w:val="000000"/>
                <w:sz w:val="23"/>
                <w:szCs w:val="23"/>
              </w:rPr>
              <w:t xml:space="preserve">3- </w:t>
            </w:r>
            <w:r>
              <w:rPr>
                <w:b/>
                <w:color w:val="000000"/>
                <w:sz w:val="23"/>
                <w:szCs w:val="23"/>
                <w:u w:val="single"/>
              </w:rPr>
              <w:t>Mínimo de 5 (cinco) lugares para passageiros:</w:t>
            </w:r>
          </w:p>
          <w:p w14:paraId="666DED7F">
            <w:pPr>
              <w:widowControl w:val="0"/>
              <w:spacing w:after="0" w:line="276" w:lineRule="auto"/>
              <w:ind w:left="57"/>
              <w:jc w:val="both"/>
              <w:rPr>
                <w:sz w:val="23"/>
                <w:szCs w:val="23"/>
              </w:rPr>
            </w:pPr>
          </w:p>
          <w:p w14:paraId="223D13C7">
            <w:pPr>
              <w:widowControl w:val="0"/>
              <w:spacing w:after="0" w:line="276" w:lineRule="auto"/>
              <w:ind w:left="57"/>
              <w:jc w:val="both"/>
            </w:pPr>
            <w:r>
              <w:rPr>
                <w:color w:val="000000"/>
                <w:sz w:val="23"/>
                <w:szCs w:val="23"/>
              </w:rPr>
              <w:t>-FUNDAÇÃO MUNICIPAL DE DESPORTOS DE RIO DO SUL/SC- PREGÃO ELETRÔNICO Nº 004/2023: R$ 4,94</w:t>
            </w:r>
          </w:p>
          <w:p w14:paraId="1C2C8FB0">
            <w:pPr>
              <w:widowControl w:val="0"/>
              <w:spacing w:after="0" w:line="276" w:lineRule="auto"/>
              <w:ind w:left="57"/>
              <w:jc w:val="both"/>
              <w:rPr>
                <w:color w:val="000000"/>
                <w:sz w:val="23"/>
                <w:szCs w:val="23"/>
              </w:rPr>
            </w:pPr>
          </w:p>
          <w:p w14:paraId="749116F8">
            <w:pPr>
              <w:widowControl w:val="0"/>
              <w:spacing w:after="0" w:line="276" w:lineRule="auto"/>
              <w:ind w:left="57"/>
              <w:jc w:val="both"/>
            </w:pPr>
            <w:r>
              <w:rPr>
                <w:color w:val="000000"/>
                <w:sz w:val="23"/>
                <w:szCs w:val="23"/>
              </w:rPr>
              <w:t xml:space="preserve">-Universidade Federal da Bahia: </w:t>
            </w:r>
          </w:p>
          <w:p w14:paraId="7D2B2598">
            <w:pPr>
              <w:widowControl w:val="0"/>
              <w:spacing w:after="0" w:line="276" w:lineRule="auto"/>
              <w:ind w:left="57"/>
              <w:jc w:val="both"/>
            </w:pPr>
            <w:r>
              <w:fldChar w:fldCharType="begin"/>
            </w:r>
            <w:r>
              <w:instrText xml:space="preserve"> HYPERLINK "https://sipac.ufba.br/public/jsp/processos/processo_detalhado.jsf?id=1241554" </w:instrText>
            </w:r>
            <w:r>
              <w:fldChar w:fldCharType="separate"/>
            </w:r>
            <w:r>
              <w:rPr>
                <w:rStyle w:val="10"/>
                <w:sz w:val="23"/>
                <w:szCs w:val="23"/>
              </w:rPr>
              <w:t>https://sipac.ufba.br/public/jsp/processos/processo_detalhado.jsf?id=1241554#</w:t>
            </w:r>
            <w:r>
              <w:rPr>
                <w:rStyle w:val="10"/>
                <w:sz w:val="23"/>
                <w:szCs w:val="23"/>
              </w:rPr>
              <w:fldChar w:fldCharType="end"/>
            </w:r>
            <w:r>
              <w:rPr>
                <w:color w:val="000000"/>
                <w:sz w:val="23"/>
                <w:szCs w:val="23"/>
              </w:rPr>
              <w:t xml:space="preserve"> : R$ 5,70</w:t>
            </w:r>
          </w:p>
          <w:p w14:paraId="7B4E4202">
            <w:pPr>
              <w:widowControl w:val="0"/>
              <w:spacing w:after="0" w:line="276" w:lineRule="auto"/>
              <w:ind w:left="57"/>
              <w:jc w:val="both"/>
              <w:rPr>
                <w:sz w:val="23"/>
                <w:szCs w:val="23"/>
              </w:rPr>
            </w:pPr>
          </w:p>
          <w:p w14:paraId="0447486E">
            <w:pPr>
              <w:widowControl w:val="0"/>
              <w:spacing w:after="0" w:line="276" w:lineRule="auto"/>
              <w:ind w:left="57"/>
              <w:jc w:val="both"/>
            </w:pPr>
            <w:r>
              <w:rPr>
                <w:b/>
                <w:color w:val="000000"/>
                <w:sz w:val="23"/>
                <w:szCs w:val="23"/>
                <w:u w:val="single"/>
              </w:rPr>
              <w:t>4- Mínimo de 22 (vinte e dois) lugares para passageiros:</w:t>
            </w:r>
          </w:p>
          <w:p w14:paraId="3DB2679F">
            <w:pPr>
              <w:widowControl w:val="0"/>
              <w:spacing w:after="0" w:line="276" w:lineRule="auto"/>
              <w:ind w:left="57"/>
              <w:jc w:val="both"/>
              <w:rPr>
                <w:sz w:val="23"/>
                <w:szCs w:val="23"/>
              </w:rPr>
            </w:pPr>
          </w:p>
          <w:p w14:paraId="003E196E">
            <w:pPr>
              <w:widowControl w:val="0"/>
              <w:spacing w:after="0" w:line="276" w:lineRule="auto"/>
              <w:ind w:left="57"/>
              <w:jc w:val="both"/>
            </w:pPr>
            <w:r>
              <w:rPr>
                <w:color w:val="000000"/>
                <w:sz w:val="23"/>
                <w:szCs w:val="23"/>
              </w:rPr>
              <w:t xml:space="preserve">-Universidade Federal da Bahia: </w:t>
            </w:r>
          </w:p>
          <w:p w14:paraId="69623C31">
            <w:pPr>
              <w:widowControl w:val="0"/>
              <w:spacing w:after="0" w:line="276" w:lineRule="auto"/>
              <w:ind w:left="57"/>
              <w:jc w:val="both"/>
            </w:pPr>
            <w:r>
              <w:fldChar w:fldCharType="begin"/>
            </w:r>
            <w:r>
              <w:instrText xml:space="preserve"> HYPERLINK "https://sipac.ufba.br/public/jsp/processos/processo_detalhado.jsf?id=1241554" </w:instrText>
            </w:r>
            <w:r>
              <w:fldChar w:fldCharType="separate"/>
            </w:r>
            <w:r>
              <w:rPr>
                <w:rStyle w:val="10"/>
                <w:sz w:val="23"/>
                <w:szCs w:val="23"/>
              </w:rPr>
              <w:t>https://sipac.ufba.br/public/jsp/processos/processo_detalhado.jsf?id=1241554#</w:t>
            </w:r>
            <w:r>
              <w:rPr>
                <w:rStyle w:val="10"/>
                <w:sz w:val="23"/>
                <w:szCs w:val="23"/>
              </w:rPr>
              <w:fldChar w:fldCharType="end"/>
            </w:r>
            <w:r>
              <w:rPr>
                <w:color w:val="000000"/>
                <w:sz w:val="23"/>
                <w:szCs w:val="23"/>
              </w:rPr>
              <w:t xml:space="preserve"> : R$ 6,90</w:t>
            </w:r>
          </w:p>
          <w:p w14:paraId="78AC1C95">
            <w:pPr>
              <w:widowControl w:val="0"/>
              <w:spacing w:after="0" w:line="276" w:lineRule="auto"/>
              <w:ind w:left="57"/>
              <w:jc w:val="both"/>
              <w:rPr>
                <w:sz w:val="23"/>
                <w:szCs w:val="23"/>
              </w:rPr>
            </w:pPr>
          </w:p>
          <w:p w14:paraId="7DD18739">
            <w:pPr>
              <w:widowControl w:val="0"/>
              <w:spacing w:after="0" w:line="276" w:lineRule="auto"/>
              <w:ind w:left="57"/>
              <w:jc w:val="both"/>
            </w:pPr>
            <w:r>
              <w:rPr>
                <w:b/>
                <w:color w:val="000000"/>
                <w:sz w:val="23"/>
                <w:szCs w:val="23"/>
                <w:u w:val="single"/>
              </w:rPr>
              <w:t>5 e 6- Mínimo 7 (sete) lugares para passageiros:</w:t>
            </w:r>
          </w:p>
          <w:p w14:paraId="6A3D82BA">
            <w:pPr>
              <w:widowControl w:val="0"/>
              <w:spacing w:after="0" w:line="276" w:lineRule="auto"/>
              <w:ind w:left="57"/>
              <w:jc w:val="both"/>
              <w:rPr>
                <w:sz w:val="23"/>
                <w:szCs w:val="23"/>
              </w:rPr>
            </w:pPr>
            <w:r>
              <w:rPr>
                <w:sz w:val="23"/>
                <w:szCs w:val="23"/>
              </w:rPr>
              <w:t xml:space="preserve">-Prefeitura Municipal de Cruzeiro/SP: </w:t>
            </w:r>
          </w:p>
          <w:p w14:paraId="54CCFE7F">
            <w:pPr>
              <w:widowControl w:val="0"/>
              <w:spacing w:after="0" w:line="276" w:lineRule="auto"/>
              <w:ind w:left="57"/>
              <w:jc w:val="both"/>
              <w:rPr>
                <w:sz w:val="23"/>
                <w:szCs w:val="23"/>
              </w:rPr>
            </w:pPr>
            <w:r>
              <w:fldChar w:fldCharType="begin"/>
            </w:r>
            <w:r>
              <w:instrText xml:space="preserve"> HYPERLINK "https://www.cruzeiro.sp.gov.br/wp-content/uploads/2023/09/PREGAO-ELETRONICO-No-055-2023-RP-LOCACAO-DE-VEICULO-7-LUGARES" \h </w:instrText>
            </w:r>
            <w:r>
              <w:fldChar w:fldCharType="separate"/>
            </w:r>
            <w:r>
              <w:rPr>
                <w:color w:val="000080"/>
                <w:sz w:val="23"/>
                <w:szCs w:val="23"/>
                <w:u w:val="single"/>
              </w:rPr>
              <w:t>https://www.cruzeiro.sp.gov.br/wp-content/uploads/2023/09/PREGAO-ELETRONICO-No-055-2023-RP-LOCACAO-DE-VEICULO-7-LUGARES</w:t>
            </w:r>
            <w:r>
              <w:rPr>
                <w:color w:val="000080"/>
                <w:sz w:val="23"/>
                <w:szCs w:val="23"/>
                <w:u w:val="single"/>
              </w:rPr>
              <w:fldChar w:fldCharType="end"/>
            </w:r>
            <w:r>
              <w:rPr>
                <w:sz w:val="23"/>
                <w:szCs w:val="23"/>
              </w:rPr>
              <w:t>: R$ 3,59</w:t>
            </w:r>
          </w:p>
          <w:p w14:paraId="574C41AD">
            <w:pPr>
              <w:widowControl w:val="0"/>
              <w:spacing w:after="0" w:line="276" w:lineRule="auto"/>
              <w:ind w:left="57"/>
              <w:jc w:val="both"/>
              <w:rPr>
                <w:sz w:val="23"/>
                <w:szCs w:val="23"/>
              </w:rPr>
            </w:pPr>
          </w:p>
          <w:p w14:paraId="23806723">
            <w:pPr>
              <w:widowControl w:val="0"/>
              <w:spacing w:after="0" w:line="276" w:lineRule="auto"/>
              <w:jc w:val="both"/>
              <w:rPr>
                <w:sz w:val="23"/>
                <w:szCs w:val="23"/>
              </w:rPr>
            </w:pPr>
            <w:r>
              <w:rPr>
                <w:color w:val="000000"/>
                <w:sz w:val="23"/>
                <w:szCs w:val="23"/>
              </w:rPr>
              <w:t xml:space="preserve">Foi analisado ainda a contratação anterior feita por esta Secretaria Municipal de Saúde através do Processo administrativo n° </w:t>
            </w:r>
            <w:r>
              <w:rPr>
                <w:sz w:val="23"/>
                <w:szCs w:val="23"/>
              </w:rPr>
              <w:t>17709/2024</w:t>
            </w:r>
            <w:r>
              <w:rPr>
                <w:color w:val="00000A"/>
                <w:sz w:val="23"/>
                <w:szCs w:val="23"/>
              </w:rPr>
              <w:t>, sendo declarada como vencedora para os lotes 1 e 2, a empresa CAMINHOS DOURADOS FRETAMENTO E ALUGUEL DE VEICULOS LTDA, sendo os itens homologados nos valores unitários que seguem:</w:t>
            </w:r>
          </w:p>
          <w:p w14:paraId="100162AA">
            <w:pPr>
              <w:widowControl w:val="0"/>
              <w:spacing w:after="0" w:line="276" w:lineRule="auto"/>
              <w:jc w:val="both"/>
              <w:rPr>
                <w:sz w:val="23"/>
                <w:szCs w:val="23"/>
              </w:rPr>
            </w:pPr>
          </w:p>
          <w:p w14:paraId="2032C909">
            <w:pPr>
              <w:widowControl w:val="0"/>
              <w:spacing w:after="0" w:line="276" w:lineRule="auto"/>
              <w:jc w:val="both"/>
              <w:rPr>
                <w:b/>
                <w:color w:val="00000A"/>
                <w:sz w:val="23"/>
                <w:szCs w:val="23"/>
              </w:rPr>
            </w:pPr>
            <w:r>
              <w:rPr>
                <w:b/>
                <w:color w:val="00000A"/>
                <w:sz w:val="23"/>
                <w:szCs w:val="23"/>
              </w:rPr>
              <w:t>Ata de Registro de Preços nº 247/2023:</w:t>
            </w:r>
          </w:p>
          <w:p w14:paraId="5757175D">
            <w:pPr>
              <w:widowControl w:val="0"/>
              <w:spacing w:after="0" w:line="276" w:lineRule="auto"/>
              <w:jc w:val="both"/>
              <w:rPr>
                <w:color w:val="00000A"/>
                <w:sz w:val="23"/>
                <w:szCs w:val="23"/>
              </w:rPr>
            </w:pPr>
          </w:p>
          <w:p w14:paraId="4328345C">
            <w:pPr>
              <w:widowControl w:val="0"/>
              <w:spacing w:after="0" w:line="276" w:lineRule="auto"/>
              <w:jc w:val="both"/>
            </w:pPr>
            <w:r>
              <w:rPr>
                <w:color w:val="00000A"/>
                <w:sz w:val="23"/>
                <w:szCs w:val="23"/>
              </w:rPr>
              <w:t>1-</w:t>
            </w:r>
            <w:r>
              <w:rPr>
                <w:color w:val="000000"/>
                <w:sz w:val="23"/>
                <w:szCs w:val="23"/>
                <w:u w:val="single"/>
              </w:rPr>
              <w:t xml:space="preserve"> Mínimo de 15 (quinze) lugares para passageiros: R$ </w:t>
            </w:r>
            <w:r>
              <w:rPr>
                <w:sz w:val="23"/>
                <w:szCs w:val="23"/>
                <w:u w:val="single"/>
              </w:rPr>
              <w:t>4,94</w:t>
            </w:r>
          </w:p>
          <w:p w14:paraId="786D84A3">
            <w:pPr>
              <w:widowControl w:val="0"/>
              <w:spacing w:after="0" w:line="276" w:lineRule="auto"/>
              <w:jc w:val="both"/>
              <w:rPr>
                <w:sz w:val="23"/>
                <w:szCs w:val="23"/>
              </w:rPr>
            </w:pPr>
          </w:p>
          <w:p w14:paraId="1C864B8A">
            <w:pPr>
              <w:widowControl w:val="0"/>
              <w:spacing w:after="0" w:line="276" w:lineRule="auto"/>
              <w:jc w:val="both"/>
            </w:pPr>
            <w:r>
              <w:rPr>
                <w:color w:val="000000"/>
                <w:sz w:val="23"/>
                <w:szCs w:val="23"/>
                <w:u w:val="single"/>
              </w:rPr>
              <w:t xml:space="preserve">2- Mínimo de 25 (vinte e cinco) lugares para passageiros: R$ </w:t>
            </w:r>
            <w:r>
              <w:rPr>
                <w:sz w:val="23"/>
                <w:szCs w:val="23"/>
                <w:u w:val="single"/>
              </w:rPr>
              <w:t>6,14</w:t>
            </w:r>
          </w:p>
          <w:p w14:paraId="670CBD61">
            <w:pPr>
              <w:widowControl w:val="0"/>
              <w:spacing w:after="0" w:line="276" w:lineRule="auto"/>
              <w:ind w:left="57"/>
              <w:jc w:val="both"/>
              <w:rPr>
                <w:sz w:val="23"/>
                <w:szCs w:val="23"/>
              </w:rPr>
            </w:pPr>
          </w:p>
          <w:p w14:paraId="6ECA20AE">
            <w:pPr>
              <w:widowControl w:val="0"/>
              <w:spacing w:after="0" w:line="276" w:lineRule="auto"/>
              <w:jc w:val="both"/>
            </w:pPr>
            <w:r>
              <w:rPr>
                <w:color w:val="000000"/>
                <w:sz w:val="23"/>
                <w:szCs w:val="23"/>
              </w:rPr>
              <w:t xml:space="preserve">3- </w:t>
            </w:r>
            <w:r>
              <w:rPr>
                <w:color w:val="000000"/>
                <w:sz w:val="23"/>
                <w:szCs w:val="23"/>
                <w:u w:val="single"/>
              </w:rPr>
              <w:t>Mínimo de 5 (cinco) lugares para passageiros: R$ 5,</w:t>
            </w:r>
            <w:r>
              <w:rPr>
                <w:sz w:val="23"/>
                <w:szCs w:val="23"/>
                <w:u w:val="single"/>
              </w:rPr>
              <w:t>03</w:t>
            </w:r>
          </w:p>
          <w:p w14:paraId="5B54A95F">
            <w:pPr>
              <w:widowControl w:val="0"/>
              <w:spacing w:after="0" w:line="276" w:lineRule="auto"/>
              <w:ind w:left="57"/>
              <w:jc w:val="both"/>
              <w:rPr>
                <w:sz w:val="23"/>
                <w:szCs w:val="23"/>
              </w:rPr>
            </w:pPr>
          </w:p>
          <w:p w14:paraId="59F28C95">
            <w:pPr>
              <w:widowControl w:val="0"/>
              <w:spacing w:after="0" w:line="276" w:lineRule="auto"/>
              <w:ind w:left="57"/>
              <w:jc w:val="both"/>
            </w:pPr>
            <w:r>
              <w:rPr>
                <w:color w:val="000000"/>
                <w:sz w:val="23"/>
                <w:szCs w:val="23"/>
                <w:u w:val="single"/>
              </w:rPr>
              <w:t>4- Mínimo de 22 (vinte e dois) lugares para passageiros: R$ 7,</w:t>
            </w:r>
            <w:r>
              <w:rPr>
                <w:sz w:val="23"/>
                <w:szCs w:val="23"/>
                <w:u w:val="single"/>
              </w:rPr>
              <w:t>86</w:t>
            </w:r>
          </w:p>
          <w:p w14:paraId="49081F9F">
            <w:pPr>
              <w:widowControl w:val="0"/>
              <w:spacing w:after="0" w:line="276" w:lineRule="auto"/>
              <w:ind w:left="57"/>
              <w:jc w:val="both"/>
              <w:rPr>
                <w:sz w:val="23"/>
                <w:szCs w:val="23"/>
                <w:highlight w:val="yellow"/>
              </w:rPr>
            </w:pPr>
          </w:p>
          <w:p w14:paraId="620602FE">
            <w:pPr>
              <w:widowControl w:val="0"/>
              <w:spacing w:after="0" w:line="276" w:lineRule="auto"/>
              <w:jc w:val="both"/>
              <w:rPr>
                <w:sz w:val="23"/>
                <w:szCs w:val="23"/>
              </w:rPr>
            </w:pPr>
            <w:r>
              <w:rPr>
                <w:color w:val="00000A"/>
                <w:sz w:val="23"/>
                <w:szCs w:val="23"/>
              </w:rPr>
              <w:t>Desta forma, i</w:t>
            </w:r>
            <w:r>
              <w:rPr>
                <w:color w:val="222222"/>
                <w:sz w:val="23"/>
                <w:szCs w:val="23"/>
              </w:rPr>
              <w:t>mportante destacar que os valores das respectivas contratações analisadas servem apenas como parâmetro e ciência do preço praticado no mercado, não significando que serão exatamente esses os valores contratados para o presente, tendo em vista que inúmeros fatores podem influenciar para a variação dos valores, como o preço da gasolina que diverge em cada região, a quilometragem solicitada por cada órgão, os pedágios, bem como tributos que variam de acordo com a região.</w:t>
            </w:r>
          </w:p>
          <w:p w14:paraId="1BADB80C">
            <w:pPr>
              <w:widowControl w:val="0"/>
              <w:spacing w:after="0" w:line="276" w:lineRule="auto"/>
              <w:jc w:val="both"/>
              <w:rPr>
                <w:sz w:val="23"/>
                <w:szCs w:val="23"/>
              </w:rPr>
            </w:pPr>
          </w:p>
          <w:p w14:paraId="727A5BCE">
            <w:pPr>
              <w:widowControl w:val="0"/>
              <w:spacing w:after="0" w:line="276" w:lineRule="auto"/>
              <w:jc w:val="both"/>
              <w:rPr>
                <w:sz w:val="23"/>
                <w:szCs w:val="23"/>
              </w:rPr>
            </w:pPr>
            <w:r>
              <w:rPr>
                <w:sz w:val="23"/>
                <w:szCs w:val="23"/>
              </w:rPr>
              <w:t>No entanto, cabe ressaltar que serão considerados para fins de escolha do melhor preço na presente contratação os valores alcançados pela Secretaria de Licitações e Planejamento, na ocasião da pesquisa de preços, os quais serão devidamente apurados pelo Setor de Gestão de Processos, Contratos e Convênios da Secretaria Requisitante para fins de utilização como parâmetro para o futuro certame.</w:t>
            </w:r>
          </w:p>
          <w:p w14:paraId="4449CD18">
            <w:pPr>
              <w:widowControl w:val="0"/>
              <w:spacing w:after="0" w:line="276" w:lineRule="auto"/>
              <w:ind w:right="113"/>
              <w:jc w:val="both"/>
              <w:rPr>
                <w:color w:val="000000"/>
                <w:sz w:val="23"/>
                <w:szCs w:val="23"/>
              </w:rPr>
            </w:pPr>
          </w:p>
          <w:p w14:paraId="285758CF">
            <w:pPr>
              <w:widowControl w:val="0"/>
              <w:spacing w:after="0" w:line="276" w:lineRule="auto"/>
              <w:ind w:right="113"/>
              <w:jc w:val="both"/>
              <w:rPr>
                <w:color w:val="000000"/>
                <w:sz w:val="23"/>
                <w:szCs w:val="23"/>
              </w:rPr>
            </w:pPr>
            <w:r>
              <w:rPr>
                <w:color w:val="000000"/>
                <w:sz w:val="23"/>
                <w:szCs w:val="23"/>
              </w:rPr>
              <w:t>Estimativa do valor da contratação, acompanhada dos preços unitários referenciais, das memórias de cálculo e dos documentos que lhe dão suporte, será realizada pela Secretaria de Infraestrutura e Logística posteriormente.</w:t>
            </w:r>
          </w:p>
          <w:p w14:paraId="39F6B2A0">
            <w:pPr>
              <w:widowControl w:val="0"/>
              <w:spacing w:after="0" w:line="276" w:lineRule="auto"/>
              <w:ind w:right="113"/>
              <w:jc w:val="both"/>
              <w:rPr>
                <w:sz w:val="23"/>
                <w:szCs w:val="23"/>
              </w:rPr>
            </w:pPr>
          </w:p>
          <w:p w14:paraId="482F6B2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right="113"/>
              <w:jc w:val="both"/>
              <w:rPr>
                <w:color w:val="000000"/>
                <w:sz w:val="23"/>
                <w:szCs w:val="23"/>
              </w:rPr>
            </w:pPr>
            <w:r>
              <w:rPr>
                <w:color w:val="00000A"/>
                <w:sz w:val="23"/>
                <w:szCs w:val="23"/>
              </w:rPr>
              <w:t xml:space="preserve">Para formação do preço de referência dos itens a serem licitados, foram utilizados os valores da contratação anterior desta Secretaria de Saúde, apresentados no processo administrativo autuado sob o nº </w:t>
            </w:r>
            <w:r>
              <w:rPr>
                <w:sz w:val="23"/>
                <w:szCs w:val="23"/>
              </w:rPr>
              <w:t>17709</w:t>
            </w:r>
            <w:r>
              <w:rPr>
                <w:color w:val="000000"/>
                <w:sz w:val="23"/>
                <w:szCs w:val="23"/>
              </w:rPr>
              <w:t>/20</w:t>
            </w:r>
            <w:r>
              <w:rPr>
                <w:sz w:val="23"/>
                <w:szCs w:val="23"/>
              </w:rPr>
              <w:t>24</w:t>
            </w:r>
            <w:r>
              <w:rPr>
                <w:color w:val="00000A"/>
                <w:sz w:val="23"/>
                <w:szCs w:val="23"/>
              </w:rPr>
              <w:t>, bem como as contratações já citadas</w:t>
            </w:r>
            <w:r>
              <w:rPr>
                <w:color w:val="000000"/>
                <w:sz w:val="23"/>
                <w:szCs w:val="23"/>
              </w:rPr>
              <w:t>, conforme segue:</w:t>
            </w:r>
          </w:p>
          <w:p w14:paraId="5E2EBEDD">
            <w:pPr>
              <w:widowControl w:val="0"/>
              <w:spacing w:after="0" w:line="276" w:lineRule="auto"/>
              <w:jc w:val="both"/>
              <w:rPr>
                <w:sz w:val="23"/>
                <w:szCs w:val="23"/>
              </w:rPr>
            </w:pPr>
          </w:p>
          <w:tbl>
            <w:tblPr>
              <w:tblStyle w:val="25"/>
              <w:tblW w:w="10035" w:type="dxa"/>
              <w:tblInd w:w="0"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55" w:type="dxa"/>
                <w:left w:w="50" w:type="dxa"/>
                <w:bottom w:w="55" w:type="dxa"/>
                <w:right w:w="55" w:type="dxa"/>
              </w:tblCellMar>
            </w:tblPr>
            <w:tblGrid>
              <w:gridCol w:w="630"/>
              <w:gridCol w:w="1980"/>
              <w:gridCol w:w="1185"/>
              <w:gridCol w:w="1200"/>
              <w:gridCol w:w="1125"/>
              <w:gridCol w:w="1305"/>
              <w:gridCol w:w="1020"/>
              <w:gridCol w:w="1590"/>
            </w:tblGrid>
            <w:tr w14:paraId="78FF259A">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c>
                <w:tcPr>
                  <w:tcW w:w="630" w:type="dxa"/>
                  <w:tcBorders>
                    <w:top w:val="single" w:color="000000" w:sz="4" w:space="0"/>
                    <w:left w:val="single" w:color="000000" w:sz="4" w:space="0"/>
                    <w:bottom w:val="single" w:color="000000" w:sz="4" w:space="0"/>
                  </w:tcBorders>
                  <w:shd w:val="clear" w:color="auto" w:fill="auto"/>
                  <w:vAlign w:val="center"/>
                </w:tcPr>
                <w:p w14:paraId="425CFC40">
                  <w:pPr>
                    <w:widowControl w:val="0"/>
                    <w:jc w:val="center"/>
                    <w:rPr>
                      <w:b/>
                      <w:sz w:val="19"/>
                      <w:szCs w:val="19"/>
                    </w:rPr>
                  </w:pPr>
                  <w:r>
                    <w:rPr>
                      <w:b/>
                      <w:sz w:val="19"/>
                      <w:szCs w:val="19"/>
                    </w:rPr>
                    <w:t>ITEM</w:t>
                  </w:r>
                </w:p>
              </w:tc>
              <w:tc>
                <w:tcPr>
                  <w:tcW w:w="1980" w:type="dxa"/>
                  <w:tcBorders>
                    <w:top w:val="single" w:color="000000" w:sz="4" w:space="0"/>
                    <w:left w:val="single" w:color="000000" w:sz="4" w:space="0"/>
                    <w:bottom w:val="single" w:color="000000" w:sz="4" w:space="0"/>
                  </w:tcBorders>
                  <w:shd w:val="clear" w:color="auto" w:fill="auto"/>
                  <w:vAlign w:val="center"/>
                </w:tcPr>
                <w:p w14:paraId="04460689">
                  <w:pPr>
                    <w:widowControl w:val="0"/>
                    <w:jc w:val="center"/>
                    <w:rPr>
                      <w:b/>
                      <w:sz w:val="19"/>
                      <w:szCs w:val="19"/>
                    </w:rPr>
                  </w:pPr>
                  <w:r>
                    <w:rPr>
                      <w:b/>
                      <w:sz w:val="19"/>
                      <w:szCs w:val="19"/>
                    </w:rPr>
                    <w:t>ESPECIFICAÇÃO:</w:t>
                  </w:r>
                </w:p>
              </w:tc>
              <w:tc>
                <w:tcPr>
                  <w:tcW w:w="1185" w:type="dxa"/>
                  <w:tcBorders>
                    <w:top w:val="single" w:color="000000" w:sz="4" w:space="0"/>
                    <w:left w:val="single" w:color="000000" w:sz="4" w:space="0"/>
                    <w:bottom w:val="single" w:color="000000" w:sz="4" w:space="0"/>
                  </w:tcBorders>
                  <w:shd w:val="clear" w:color="auto" w:fill="auto"/>
                  <w:vAlign w:val="center"/>
                </w:tcPr>
                <w:p w14:paraId="0D755CBC">
                  <w:pPr>
                    <w:widowControl w:val="0"/>
                    <w:jc w:val="center"/>
                    <w:rPr>
                      <w:b/>
                      <w:sz w:val="19"/>
                      <w:szCs w:val="19"/>
                    </w:rPr>
                  </w:pPr>
                  <w:r>
                    <w:rPr>
                      <w:b/>
                      <w:sz w:val="19"/>
                      <w:szCs w:val="19"/>
                    </w:rPr>
                    <w:t>VALOR UNITÁRIO  REFERENCIAL01</w:t>
                  </w:r>
                </w:p>
              </w:tc>
              <w:tc>
                <w:tcPr>
                  <w:tcW w:w="1200" w:type="dxa"/>
                  <w:tcBorders>
                    <w:top w:val="single" w:color="000000" w:sz="4" w:space="0"/>
                    <w:left w:val="single" w:color="000000" w:sz="4" w:space="0"/>
                    <w:bottom w:val="single" w:color="000000" w:sz="4" w:space="0"/>
                  </w:tcBorders>
                  <w:shd w:val="clear" w:color="auto" w:fill="auto"/>
                  <w:vAlign w:val="center"/>
                </w:tcPr>
                <w:p w14:paraId="6A735D27">
                  <w:pPr>
                    <w:widowControl w:val="0"/>
                    <w:jc w:val="center"/>
                    <w:rPr>
                      <w:b/>
                      <w:sz w:val="19"/>
                      <w:szCs w:val="19"/>
                    </w:rPr>
                  </w:pPr>
                  <w:r>
                    <w:rPr>
                      <w:b/>
                      <w:sz w:val="19"/>
                      <w:szCs w:val="19"/>
                    </w:rPr>
                    <w:t>VALOR UNITÁRIO  REFERENCIAL02</w:t>
                  </w:r>
                </w:p>
              </w:tc>
              <w:tc>
                <w:tcPr>
                  <w:tcW w:w="1125" w:type="dxa"/>
                  <w:tcBorders>
                    <w:top w:val="single" w:color="000000" w:sz="4" w:space="0"/>
                    <w:left w:val="single" w:color="000000" w:sz="4" w:space="0"/>
                    <w:bottom w:val="single" w:color="000000" w:sz="4" w:space="0"/>
                  </w:tcBorders>
                  <w:shd w:val="clear" w:color="auto" w:fill="auto"/>
                  <w:vAlign w:val="center"/>
                </w:tcPr>
                <w:p w14:paraId="66C99E99">
                  <w:pPr>
                    <w:widowControl w:val="0"/>
                    <w:jc w:val="center"/>
                    <w:rPr>
                      <w:b/>
                      <w:sz w:val="19"/>
                      <w:szCs w:val="19"/>
                    </w:rPr>
                  </w:pPr>
                  <w:r>
                    <w:rPr>
                      <w:b/>
                      <w:sz w:val="19"/>
                      <w:szCs w:val="19"/>
                    </w:rPr>
                    <w:t>VALOR UNITÁRIO – ÚLTIMO PREÇO PRATICADO</w:t>
                  </w:r>
                </w:p>
              </w:tc>
              <w:tc>
                <w:tcPr>
                  <w:tcW w:w="1305" w:type="dxa"/>
                  <w:tcBorders>
                    <w:top w:val="single" w:color="000000" w:sz="4" w:space="0"/>
                    <w:left w:val="single" w:color="000000" w:sz="4" w:space="0"/>
                    <w:bottom w:val="single" w:color="000000" w:sz="4" w:space="0"/>
                  </w:tcBorders>
                  <w:shd w:val="clear" w:color="auto" w:fill="auto"/>
                  <w:vAlign w:val="center"/>
                </w:tcPr>
                <w:p w14:paraId="5FD62FF8">
                  <w:pPr>
                    <w:widowControl w:val="0"/>
                    <w:jc w:val="center"/>
                    <w:rPr>
                      <w:b/>
                      <w:sz w:val="19"/>
                      <w:szCs w:val="19"/>
                    </w:rPr>
                  </w:pPr>
                  <w:r>
                    <w:rPr>
                      <w:b/>
                      <w:sz w:val="19"/>
                      <w:szCs w:val="19"/>
                    </w:rPr>
                    <w:t>MÉDIA DOS PARÂMETROS/ VALOR UNIT ESTIMADO</w:t>
                  </w:r>
                </w:p>
              </w:tc>
              <w:tc>
                <w:tcPr>
                  <w:tcW w:w="1020" w:type="dxa"/>
                  <w:tcBorders>
                    <w:top w:val="single" w:color="000000" w:sz="4" w:space="0"/>
                    <w:left w:val="single" w:color="000000" w:sz="4" w:space="0"/>
                    <w:bottom w:val="single" w:color="000000" w:sz="4" w:space="0"/>
                  </w:tcBorders>
                  <w:shd w:val="clear" w:color="auto" w:fill="auto"/>
                  <w:vAlign w:val="center"/>
                </w:tcPr>
                <w:p w14:paraId="36FB1583">
                  <w:pPr>
                    <w:widowControl w:val="0"/>
                    <w:jc w:val="center"/>
                    <w:rPr>
                      <w:b/>
                      <w:sz w:val="19"/>
                      <w:szCs w:val="19"/>
                    </w:rPr>
                  </w:pPr>
                  <w:r>
                    <w:rPr>
                      <w:b/>
                      <w:sz w:val="19"/>
                      <w:szCs w:val="19"/>
                    </w:rPr>
                    <w:t>QUANT.</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502F4">
                  <w:pPr>
                    <w:widowControl w:val="0"/>
                    <w:jc w:val="center"/>
                    <w:rPr>
                      <w:b/>
                      <w:sz w:val="19"/>
                      <w:szCs w:val="19"/>
                    </w:rPr>
                  </w:pPr>
                  <w:r>
                    <w:rPr>
                      <w:b/>
                      <w:sz w:val="19"/>
                      <w:szCs w:val="19"/>
                    </w:rPr>
                    <w:t>VALOR TOTAL ESTIMADO PARA CADA VEÍCULO</w:t>
                  </w:r>
                </w:p>
              </w:tc>
            </w:tr>
            <w:tr w14:paraId="44F0ED61">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c>
                <w:tcPr>
                  <w:tcW w:w="630" w:type="dxa"/>
                  <w:tcBorders>
                    <w:left w:val="single" w:color="000000" w:sz="4" w:space="0"/>
                    <w:bottom w:val="single" w:color="000000" w:sz="4" w:space="0"/>
                  </w:tcBorders>
                  <w:shd w:val="clear" w:color="auto" w:fill="auto"/>
                  <w:vAlign w:val="center"/>
                </w:tcPr>
                <w:p w14:paraId="6F52726A">
                  <w:pPr>
                    <w:widowControl w:val="0"/>
                    <w:jc w:val="center"/>
                    <w:rPr>
                      <w:b/>
                      <w:sz w:val="21"/>
                      <w:szCs w:val="21"/>
                    </w:rPr>
                  </w:pPr>
                  <w:r>
                    <w:rPr>
                      <w:b/>
                      <w:sz w:val="21"/>
                      <w:szCs w:val="21"/>
                    </w:rPr>
                    <w:t>1</w:t>
                  </w:r>
                </w:p>
              </w:tc>
              <w:tc>
                <w:tcPr>
                  <w:tcW w:w="1980" w:type="dxa"/>
                  <w:tcBorders>
                    <w:left w:val="single" w:color="000000" w:sz="4" w:space="0"/>
                    <w:bottom w:val="single" w:color="000000" w:sz="4" w:space="0"/>
                  </w:tcBorders>
                  <w:shd w:val="clear" w:color="auto" w:fill="auto"/>
                  <w:vAlign w:val="center"/>
                </w:tcPr>
                <w:p w14:paraId="48FC34E2">
                  <w:pPr>
                    <w:jc w:val="both"/>
                  </w:pPr>
                  <w:r>
                    <w:rPr>
                      <w:color w:val="000000"/>
                      <w:sz w:val="21"/>
                      <w:szCs w:val="21"/>
                    </w:rPr>
                    <w:t>15 (quinze) Veículos, com ar-condicionado, mínimo de 15 (quinze) lugares para passageiros, com até 5</w:t>
                  </w:r>
                  <w:r>
                    <w:rPr>
                      <w:b/>
                      <w:color w:val="000000"/>
                      <w:sz w:val="21"/>
                      <w:szCs w:val="21"/>
                    </w:rPr>
                    <w:t xml:space="preserve"> (cinco) anos</w:t>
                  </w:r>
                  <w:r>
                    <w:rPr>
                      <w:color w:val="000000"/>
                      <w:sz w:val="21"/>
                      <w:szCs w:val="21"/>
                    </w:rPr>
                    <w:t xml:space="preserve"> de fabricação, cinto de segurança em todos os assentos, motorista para lotação, rastreador, seguro de passageiros, pedágio e combustível.</w:t>
                  </w:r>
                </w:p>
              </w:tc>
              <w:tc>
                <w:tcPr>
                  <w:tcW w:w="1185" w:type="dxa"/>
                  <w:tcBorders>
                    <w:left w:val="single" w:color="000000" w:sz="4" w:space="0"/>
                    <w:bottom w:val="single" w:color="000000" w:sz="4" w:space="0"/>
                  </w:tcBorders>
                  <w:shd w:val="clear" w:color="auto" w:fill="auto"/>
                  <w:vAlign w:val="center"/>
                </w:tcPr>
                <w:p w14:paraId="0E859CFE">
                  <w:pPr>
                    <w:widowControl w:val="0"/>
                    <w:jc w:val="center"/>
                    <w:rPr>
                      <w:sz w:val="21"/>
                      <w:szCs w:val="21"/>
                    </w:rPr>
                  </w:pPr>
                </w:p>
                <w:p w14:paraId="36E47C6A">
                  <w:pPr>
                    <w:widowControl w:val="0"/>
                    <w:jc w:val="center"/>
                    <w:rPr>
                      <w:sz w:val="21"/>
                      <w:szCs w:val="21"/>
                    </w:rPr>
                  </w:pPr>
                </w:p>
                <w:p w14:paraId="7685B490">
                  <w:pPr>
                    <w:widowControl w:val="0"/>
                    <w:jc w:val="center"/>
                    <w:rPr>
                      <w:sz w:val="21"/>
                      <w:szCs w:val="21"/>
                    </w:rPr>
                  </w:pPr>
                  <w:r>
                    <w:rPr>
                      <w:sz w:val="21"/>
                      <w:szCs w:val="21"/>
                    </w:rPr>
                    <w:t>R$ 6,50</w:t>
                  </w:r>
                </w:p>
              </w:tc>
              <w:tc>
                <w:tcPr>
                  <w:tcW w:w="1200" w:type="dxa"/>
                  <w:tcBorders>
                    <w:left w:val="single" w:color="000000" w:sz="4" w:space="0"/>
                    <w:bottom w:val="single" w:color="000000" w:sz="4" w:space="0"/>
                  </w:tcBorders>
                  <w:shd w:val="clear" w:color="auto" w:fill="auto"/>
                  <w:vAlign w:val="center"/>
                </w:tcPr>
                <w:p w14:paraId="026CF226">
                  <w:pPr>
                    <w:widowControl w:val="0"/>
                    <w:jc w:val="center"/>
                    <w:rPr>
                      <w:sz w:val="21"/>
                      <w:szCs w:val="21"/>
                    </w:rPr>
                  </w:pPr>
                </w:p>
                <w:p w14:paraId="28925CC5">
                  <w:pPr>
                    <w:widowControl w:val="0"/>
                    <w:jc w:val="center"/>
                    <w:rPr>
                      <w:sz w:val="21"/>
                      <w:szCs w:val="21"/>
                    </w:rPr>
                  </w:pPr>
                </w:p>
                <w:p w14:paraId="11FDB78E">
                  <w:pPr>
                    <w:widowControl w:val="0"/>
                    <w:jc w:val="center"/>
                    <w:rPr>
                      <w:sz w:val="21"/>
                      <w:szCs w:val="21"/>
                    </w:rPr>
                  </w:pPr>
                  <w:r>
                    <w:rPr>
                      <w:sz w:val="21"/>
                      <w:szCs w:val="21"/>
                    </w:rPr>
                    <w:t>R$ 6,36</w:t>
                  </w:r>
                </w:p>
              </w:tc>
              <w:tc>
                <w:tcPr>
                  <w:tcW w:w="1125" w:type="dxa"/>
                  <w:tcBorders>
                    <w:left w:val="single" w:color="000000" w:sz="4" w:space="0"/>
                    <w:bottom w:val="single" w:color="000000" w:sz="4" w:space="0"/>
                  </w:tcBorders>
                  <w:shd w:val="clear" w:color="auto" w:fill="auto"/>
                  <w:vAlign w:val="center"/>
                </w:tcPr>
                <w:p w14:paraId="4D777FBA">
                  <w:pPr>
                    <w:widowControl w:val="0"/>
                    <w:jc w:val="center"/>
                    <w:rPr>
                      <w:sz w:val="21"/>
                      <w:szCs w:val="21"/>
                    </w:rPr>
                  </w:pPr>
                </w:p>
                <w:p w14:paraId="7C6BE4CC">
                  <w:pPr>
                    <w:widowControl w:val="0"/>
                    <w:jc w:val="center"/>
                    <w:rPr>
                      <w:sz w:val="21"/>
                      <w:szCs w:val="21"/>
                    </w:rPr>
                  </w:pPr>
                </w:p>
                <w:p w14:paraId="52356B55">
                  <w:pPr>
                    <w:widowControl w:val="0"/>
                    <w:jc w:val="center"/>
                    <w:rPr>
                      <w:sz w:val="21"/>
                      <w:szCs w:val="21"/>
                    </w:rPr>
                  </w:pPr>
                  <w:r>
                    <w:rPr>
                      <w:sz w:val="21"/>
                      <w:szCs w:val="21"/>
                    </w:rPr>
                    <w:t>R$ 4,94</w:t>
                  </w:r>
                </w:p>
              </w:tc>
              <w:tc>
                <w:tcPr>
                  <w:tcW w:w="1305" w:type="dxa"/>
                  <w:tcBorders>
                    <w:left w:val="single" w:color="000000" w:sz="4" w:space="0"/>
                    <w:bottom w:val="single" w:color="000000" w:sz="4" w:space="0"/>
                  </w:tcBorders>
                  <w:shd w:val="clear" w:color="auto" w:fill="auto"/>
                  <w:vAlign w:val="center"/>
                </w:tcPr>
                <w:p w14:paraId="66637438">
                  <w:pPr>
                    <w:widowControl w:val="0"/>
                    <w:jc w:val="center"/>
                    <w:rPr>
                      <w:b/>
                      <w:sz w:val="21"/>
                      <w:szCs w:val="21"/>
                    </w:rPr>
                  </w:pPr>
                </w:p>
                <w:p w14:paraId="106E681B">
                  <w:pPr>
                    <w:widowControl w:val="0"/>
                    <w:jc w:val="center"/>
                    <w:rPr>
                      <w:b/>
                      <w:sz w:val="21"/>
                      <w:szCs w:val="21"/>
                    </w:rPr>
                  </w:pPr>
                </w:p>
                <w:p w14:paraId="769C8C87">
                  <w:pPr>
                    <w:widowControl w:val="0"/>
                    <w:jc w:val="center"/>
                    <w:rPr>
                      <w:b/>
                      <w:sz w:val="21"/>
                      <w:szCs w:val="21"/>
                    </w:rPr>
                  </w:pPr>
                  <w:r>
                    <w:rPr>
                      <w:b/>
                      <w:sz w:val="21"/>
                      <w:szCs w:val="21"/>
                    </w:rPr>
                    <w:t>R$ 5,93</w:t>
                  </w:r>
                </w:p>
              </w:tc>
              <w:tc>
                <w:tcPr>
                  <w:tcW w:w="1020" w:type="dxa"/>
                  <w:tcBorders>
                    <w:left w:val="single" w:color="000000" w:sz="4" w:space="0"/>
                    <w:bottom w:val="single" w:color="000000" w:sz="4" w:space="0"/>
                  </w:tcBorders>
                  <w:shd w:val="clear" w:color="auto" w:fill="auto"/>
                  <w:vAlign w:val="center"/>
                </w:tcPr>
                <w:p w14:paraId="6EC80423">
                  <w:pPr>
                    <w:rPr>
                      <w:color w:val="000000"/>
                      <w:sz w:val="21"/>
                      <w:szCs w:val="21"/>
                    </w:rPr>
                  </w:pPr>
                </w:p>
                <w:p w14:paraId="0A539E8A">
                  <w:pPr>
                    <w:rPr>
                      <w:color w:val="000000"/>
                      <w:sz w:val="21"/>
                      <w:szCs w:val="21"/>
                    </w:rPr>
                  </w:pPr>
                </w:p>
                <w:p w14:paraId="44F5D64B">
                  <w:pPr>
                    <w:rPr>
                      <w:b/>
                      <w:color w:val="000000"/>
                      <w:sz w:val="21"/>
                      <w:szCs w:val="21"/>
                    </w:rPr>
                  </w:pPr>
                  <w:r>
                    <w:rPr>
                      <w:b/>
                      <w:sz w:val="21"/>
                      <w:szCs w:val="21"/>
                    </w:rPr>
                    <w:t>1.067.043</w:t>
                  </w:r>
                </w:p>
              </w:tc>
              <w:tc>
                <w:tcPr>
                  <w:tcW w:w="1590" w:type="dxa"/>
                  <w:tcBorders>
                    <w:left w:val="single" w:color="000000" w:sz="4" w:space="0"/>
                    <w:bottom w:val="single" w:color="000000" w:sz="4" w:space="0"/>
                    <w:right w:val="single" w:color="000000" w:sz="4" w:space="0"/>
                  </w:tcBorders>
                  <w:shd w:val="clear" w:color="auto" w:fill="auto"/>
                  <w:vAlign w:val="center"/>
                </w:tcPr>
                <w:p w14:paraId="262AE3FF">
                  <w:pPr>
                    <w:widowControl w:val="0"/>
                    <w:jc w:val="center"/>
                    <w:rPr>
                      <w:sz w:val="21"/>
                      <w:szCs w:val="21"/>
                    </w:rPr>
                  </w:pPr>
                </w:p>
                <w:p w14:paraId="567984ED">
                  <w:pPr>
                    <w:widowControl w:val="0"/>
                    <w:jc w:val="center"/>
                    <w:rPr>
                      <w:sz w:val="21"/>
                      <w:szCs w:val="21"/>
                    </w:rPr>
                  </w:pPr>
                </w:p>
                <w:p w14:paraId="0EED6964">
                  <w:r>
                    <w:t>R$ 6.327.564,99</w:t>
                  </w:r>
                </w:p>
              </w:tc>
            </w:tr>
            <w:tr w14:paraId="13842759">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c>
                <w:tcPr>
                  <w:tcW w:w="630" w:type="dxa"/>
                  <w:tcBorders>
                    <w:left w:val="single" w:color="000000" w:sz="4" w:space="0"/>
                    <w:bottom w:val="single" w:color="000000" w:sz="4" w:space="0"/>
                  </w:tcBorders>
                  <w:shd w:val="clear" w:color="auto" w:fill="auto"/>
                  <w:vAlign w:val="center"/>
                </w:tcPr>
                <w:p w14:paraId="69CF8A16">
                  <w:pPr>
                    <w:widowControl w:val="0"/>
                    <w:jc w:val="center"/>
                    <w:rPr>
                      <w:b/>
                      <w:sz w:val="21"/>
                      <w:szCs w:val="21"/>
                    </w:rPr>
                  </w:pPr>
                  <w:r>
                    <w:rPr>
                      <w:b/>
                      <w:sz w:val="21"/>
                      <w:szCs w:val="21"/>
                    </w:rPr>
                    <w:t>2</w:t>
                  </w:r>
                </w:p>
              </w:tc>
              <w:tc>
                <w:tcPr>
                  <w:tcW w:w="1980" w:type="dxa"/>
                  <w:tcBorders>
                    <w:left w:val="single" w:color="000000" w:sz="4" w:space="0"/>
                    <w:bottom w:val="single" w:color="000000" w:sz="4" w:space="0"/>
                  </w:tcBorders>
                  <w:shd w:val="clear" w:color="auto" w:fill="auto"/>
                  <w:vAlign w:val="center"/>
                </w:tcPr>
                <w:p w14:paraId="59F164C1">
                  <w:pPr>
                    <w:jc w:val="both"/>
                    <w:rPr>
                      <w:color w:val="000000"/>
                      <w:sz w:val="21"/>
                      <w:szCs w:val="21"/>
                    </w:rPr>
                  </w:pPr>
                </w:p>
                <w:p w14:paraId="1CB31622">
                  <w:pPr>
                    <w:jc w:val="both"/>
                  </w:pPr>
                  <w:r>
                    <w:rPr>
                      <w:color w:val="000000"/>
                      <w:sz w:val="21"/>
                      <w:szCs w:val="21"/>
                    </w:rPr>
                    <w:t xml:space="preserve">02 (dois) Veículos, com ar-condicionado, mínimo de 25 (vinte e cinco) lugares para passageiros, com até </w:t>
                  </w:r>
                  <w:r>
                    <w:rPr>
                      <w:b/>
                      <w:color w:val="000000"/>
                      <w:sz w:val="21"/>
                      <w:szCs w:val="21"/>
                    </w:rPr>
                    <w:t>15 (quinze) anos</w:t>
                  </w:r>
                  <w:r>
                    <w:rPr>
                      <w:color w:val="000000"/>
                      <w:sz w:val="21"/>
                      <w:szCs w:val="21"/>
                    </w:rPr>
                    <w:t xml:space="preserve"> de fabricação, cinto de segurança em todos os assentos, motorista para lotação, rastreador, seguro de passageiros, pedágio e combustível.</w:t>
                  </w:r>
                </w:p>
              </w:tc>
              <w:tc>
                <w:tcPr>
                  <w:tcW w:w="1185" w:type="dxa"/>
                  <w:tcBorders>
                    <w:left w:val="single" w:color="000000" w:sz="4" w:space="0"/>
                    <w:bottom w:val="single" w:color="000000" w:sz="4" w:space="0"/>
                  </w:tcBorders>
                  <w:shd w:val="clear" w:color="auto" w:fill="auto"/>
                  <w:vAlign w:val="center"/>
                </w:tcPr>
                <w:p w14:paraId="1D64DDE9">
                  <w:pPr>
                    <w:widowControl w:val="0"/>
                    <w:jc w:val="center"/>
                    <w:rPr>
                      <w:sz w:val="21"/>
                      <w:szCs w:val="21"/>
                    </w:rPr>
                  </w:pPr>
                  <w:r>
                    <w:rPr>
                      <w:sz w:val="21"/>
                      <w:szCs w:val="21"/>
                    </w:rPr>
                    <w:t>R$ 7,62</w:t>
                  </w:r>
                </w:p>
              </w:tc>
              <w:tc>
                <w:tcPr>
                  <w:tcW w:w="1200" w:type="dxa"/>
                  <w:tcBorders>
                    <w:left w:val="single" w:color="000000" w:sz="4" w:space="0"/>
                    <w:bottom w:val="single" w:color="000000" w:sz="4" w:space="0"/>
                  </w:tcBorders>
                  <w:shd w:val="clear" w:color="auto" w:fill="auto"/>
                  <w:vAlign w:val="center"/>
                </w:tcPr>
                <w:p w14:paraId="41A1F907">
                  <w:pPr>
                    <w:widowControl w:val="0"/>
                    <w:jc w:val="center"/>
                    <w:rPr>
                      <w:sz w:val="21"/>
                      <w:szCs w:val="21"/>
                    </w:rPr>
                  </w:pPr>
                  <w:r>
                    <w:rPr>
                      <w:sz w:val="21"/>
                      <w:szCs w:val="21"/>
                    </w:rPr>
                    <w:t>-</w:t>
                  </w:r>
                </w:p>
              </w:tc>
              <w:tc>
                <w:tcPr>
                  <w:tcW w:w="1125" w:type="dxa"/>
                  <w:tcBorders>
                    <w:left w:val="single" w:color="000000" w:sz="4" w:space="0"/>
                    <w:bottom w:val="single" w:color="000000" w:sz="4" w:space="0"/>
                  </w:tcBorders>
                  <w:shd w:val="clear" w:color="auto" w:fill="auto"/>
                  <w:vAlign w:val="center"/>
                </w:tcPr>
                <w:p w14:paraId="7DDB6305">
                  <w:pPr>
                    <w:widowControl w:val="0"/>
                    <w:jc w:val="center"/>
                    <w:rPr>
                      <w:sz w:val="21"/>
                      <w:szCs w:val="21"/>
                    </w:rPr>
                  </w:pPr>
                  <w:r>
                    <w:rPr>
                      <w:sz w:val="21"/>
                      <w:szCs w:val="21"/>
                    </w:rPr>
                    <w:t>R$ 6,14</w:t>
                  </w:r>
                </w:p>
              </w:tc>
              <w:tc>
                <w:tcPr>
                  <w:tcW w:w="1305" w:type="dxa"/>
                  <w:tcBorders>
                    <w:left w:val="single" w:color="000000" w:sz="4" w:space="0"/>
                    <w:bottom w:val="single" w:color="000000" w:sz="4" w:space="0"/>
                  </w:tcBorders>
                  <w:shd w:val="clear" w:color="auto" w:fill="auto"/>
                  <w:vAlign w:val="center"/>
                </w:tcPr>
                <w:p w14:paraId="6472C315">
                  <w:pPr>
                    <w:widowControl w:val="0"/>
                    <w:jc w:val="center"/>
                    <w:rPr>
                      <w:b/>
                      <w:sz w:val="21"/>
                      <w:szCs w:val="21"/>
                    </w:rPr>
                  </w:pPr>
                  <w:r>
                    <w:rPr>
                      <w:b/>
                      <w:sz w:val="21"/>
                      <w:szCs w:val="21"/>
                    </w:rPr>
                    <w:t>R$ 6,88</w:t>
                  </w:r>
                </w:p>
              </w:tc>
              <w:tc>
                <w:tcPr>
                  <w:tcW w:w="1020" w:type="dxa"/>
                  <w:tcBorders>
                    <w:left w:val="single" w:color="000000" w:sz="4" w:space="0"/>
                    <w:bottom w:val="single" w:color="000000" w:sz="4" w:space="0"/>
                  </w:tcBorders>
                  <w:shd w:val="clear" w:color="auto" w:fill="auto"/>
                  <w:vAlign w:val="center"/>
                </w:tcPr>
                <w:p w14:paraId="21B2D7AB">
                  <w:pPr>
                    <w:rPr>
                      <w:b/>
                      <w:color w:val="000000"/>
                      <w:sz w:val="21"/>
                      <w:szCs w:val="21"/>
                    </w:rPr>
                  </w:pPr>
                  <w:r>
                    <w:rPr>
                      <w:b/>
                      <w:sz w:val="21"/>
                      <w:szCs w:val="21"/>
                    </w:rPr>
                    <w:t>25.335</w:t>
                  </w:r>
                </w:p>
              </w:tc>
              <w:tc>
                <w:tcPr>
                  <w:tcW w:w="1590" w:type="dxa"/>
                  <w:tcBorders>
                    <w:left w:val="single" w:color="000000" w:sz="4" w:space="0"/>
                    <w:bottom w:val="single" w:color="000000" w:sz="4" w:space="0"/>
                    <w:right w:val="single" w:color="000000" w:sz="4" w:space="0"/>
                  </w:tcBorders>
                  <w:shd w:val="clear" w:color="auto" w:fill="auto"/>
                  <w:vAlign w:val="center"/>
                </w:tcPr>
                <w:p w14:paraId="65088932">
                  <w:pPr>
                    <w:widowControl w:val="0"/>
                    <w:jc w:val="center"/>
                    <w:rPr>
                      <w:sz w:val="21"/>
                      <w:szCs w:val="21"/>
                    </w:rPr>
                  </w:pPr>
                  <w:r>
                    <w:rPr>
                      <w:sz w:val="21"/>
                      <w:szCs w:val="21"/>
                    </w:rPr>
                    <w:t>R$ 174.304,80</w:t>
                  </w:r>
                </w:p>
              </w:tc>
            </w:tr>
            <w:tr w14:paraId="4B254C58">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c>
                <w:tcPr>
                  <w:tcW w:w="630" w:type="dxa"/>
                  <w:tcBorders>
                    <w:left w:val="single" w:color="000000" w:sz="4" w:space="0"/>
                    <w:bottom w:val="single" w:color="000000" w:sz="4" w:space="0"/>
                  </w:tcBorders>
                  <w:shd w:val="clear" w:color="auto" w:fill="auto"/>
                  <w:vAlign w:val="center"/>
                </w:tcPr>
                <w:p w14:paraId="4FE62F30">
                  <w:pPr>
                    <w:widowControl w:val="0"/>
                    <w:jc w:val="center"/>
                    <w:rPr>
                      <w:b/>
                      <w:sz w:val="21"/>
                      <w:szCs w:val="21"/>
                    </w:rPr>
                  </w:pPr>
                  <w:r>
                    <w:rPr>
                      <w:b/>
                      <w:sz w:val="21"/>
                      <w:szCs w:val="21"/>
                    </w:rPr>
                    <w:t>3</w:t>
                  </w:r>
                </w:p>
              </w:tc>
              <w:tc>
                <w:tcPr>
                  <w:tcW w:w="1980" w:type="dxa"/>
                  <w:tcBorders>
                    <w:left w:val="single" w:color="000000" w:sz="4" w:space="0"/>
                    <w:bottom w:val="single" w:color="000000" w:sz="4" w:space="0"/>
                  </w:tcBorders>
                  <w:shd w:val="clear" w:color="auto" w:fill="auto"/>
                  <w:vAlign w:val="center"/>
                </w:tcPr>
                <w:p w14:paraId="4CAD2492">
                  <w:pPr>
                    <w:jc w:val="both"/>
                    <w:rPr>
                      <w:sz w:val="21"/>
                      <w:szCs w:val="21"/>
                    </w:rPr>
                  </w:pPr>
                </w:p>
                <w:p w14:paraId="2960D09A">
                  <w:pPr>
                    <w:jc w:val="both"/>
                  </w:pPr>
                  <w:r>
                    <w:rPr>
                      <w:sz w:val="21"/>
                      <w:szCs w:val="21"/>
                    </w:rPr>
                    <w:t xml:space="preserve">03 (três) Veículos, </w:t>
                  </w:r>
                  <w:r>
                    <w:rPr>
                      <w:color w:val="000000"/>
                      <w:sz w:val="21"/>
                      <w:szCs w:val="21"/>
                    </w:rPr>
                    <w:t xml:space="preserve">com ar-condicionado, mínimo de 7 (sete) lugares para passageiros, com até </w:t>
                  </w:r>
                  <w:r>
                    <w:rPr>
                      <w:b/>
                      <w:color w:val="000000"/>
                      <w:sz w:val="21"/>
                      <w:szCs w:val="21"/>
                    </w:rPr>
                    <w:t>5 (cinco) anos</w:t>
                  </w:r>
                  <w:r>
                    <w:rPr>
                      <w:color w:val="000000"/>
                      <w:sz w:val="21"/>
                      <w:szCs w:val="21"/>
                    </w:rPr>
                    <w:t xml:space="preserve"> de fabricação, cinto de segurança em todos os assentos, motorista para lotação, rastreador, seguro de passageiros, pedágio e combustível.</w:t>
                  </w:r>
                </w:p>
              </w:tc>
              <w:tc>
                <w:tcPr>
                  <w:tcW w:w="1185" w:type="dxa"/>
                  <w:tcBorders>
                    <w:left w:val="single" w:color="000000" w:sz="4" w:space="0"/>
                    <w:bottom w:val="single" w:color="000000" w:sz="4" w:space="0"/>
                  </w:tcBorders>
                  <w:shd w:val="clear" w:color="auto" w:fill="auto"/>
                  <w:vAlign w:val="center"/>
                </w:tcPr>
                <w:p w14:paraId="022F7C71">
                  <w:pPr>
                    <w:widowControl w:val="0"/>
                    <w:jc w:val="center"/>
                    <w:rPr>
                      <w:sz w:val="21"/>
                      <w:szCs w:val="21"/>
                    </w:rPr>
                  </w:pPr>
                  <w:r>
                    <w:rPr>
                      <w:sz w:val="21"/>
                      <w:szCs w:val="21"/>
                    </w:rPr>
                    <w:t>R$ 4,94</w:t>
                  </w:r>
                </w:p>
              </w:tc>
              <w:tc>
                <w:tcPr>
                  <w:tcW w:w="1200" w:type="dxa"/>
                  <w:tcBorders>
                    <w:left w:val="single" w:color="000000" w:sz="4" w:space="0"/>
                    <w:bottom w:val="single" w:color="000000" w:sz="4" w:space="0"/>
                  </w:tcBorders>
                  <w:shd w:val="clear" w:color="auto" w:fill="auto"/>
                  <w:vAlign w:val="center"/>
                </w:tcPr>
                <w:p w14:paraId="72C59C04">
                  <w:pPr>
                    <w:widowControl w:val="0"/>
                    <w:jc w:val="center"/>
                    <w:rPr>
                      <w:sz w:val="21"/>
                      <w:szCs w:val="21"/>
                    </w:rPr>
                  </w:pPr>
                  <w:r>
                    <w:rPr>
                      <w:sz w:val="21"/>
                      <w:szCs w:val="21"/>
                    </w:rPr>
                    <w:t>R$ 5,70</w:t>
                  </w:r>
                </w:p>
              </w:tc>
              <w:tc>
                <w:tcPr>
                  <w:tcW w:w="1125" w:type="dxa"/>
                  <w:tcBorders>
                    <w:left w:val="single" w:color="000000" w:sz="4" w:space="0"/>
                    <w:bottom w:val="single" w:color="000000" w:sz="4" w:space="0"/>
                  </w:tcBorders>
                  <w:shd w:val="clear" w:color="auto" w:fill="auto"/>
                  <w:vAlign w:val="center"/>
                </w:tcPr>
                <w:p w14:paraId="21FF42AA">
                  <w:pPr>
                    <w:widowControl w:val="0"/>
                    <w:jc w:val="center"/>
                    <w:rPr>
                      <w:sz w:val="21"/>
                      <w:szCs w:val="21"/>
                    </w:rPr>
                  </w:pPr>
                  <w:r>
                    <w:rPr>
                      <w:sz w:val="21"/>
                      <w:szCs w:val="21"/>
                    </w:rPr>
                    <w:t>R$ 5,03</w:t>
                  </w:r>
                </w:p>
              </w:tc>
              <w:tc>
                <w:tcPr>
                  <w:tcW w:w="1305" w:type="dxa"/>
                  <w:tcBorders>
                    <w:left w:val="single" w:color="000000" w:sz="4" w:space="0"/>
                    <w:bottom w:val="single" w:color="000000" w:sz="4" w:space="0"/>
                  </w:tcBorders>
                  <w:shd w:val="clear" w:color="auto" w:fill="auto"/>
                  <w:vAlign w:val="center"/>
                </w:tcPr>
                <w:p w14:paraId="58AD2BE1">
                  <w:pPr>
                    <w:widowControl w:val="0"/>
                    <w:jc w:val="center"/>
                    <w:rPr>
                      <w:b/>
                      <w:sz w:val="21"/>
                      <w:szCs w:val="21"/>
                    </w:rPr>
                  </w:pPr>
                  <w:r>
                    <w:rPr>
                      <w:b/>
                      <w:sz w:val="21"/>
                      <w:szCs w:val="21"/>
                    </w:rPr>
                    <w:t>R$ 5,22</w:t>
                  </w:r>
                </w:p>
              </w:tc>
              <w:tc>
                <w:tcPr>
                  <w:tcW w:w="1020" w:type="dxa"/>
                  <w:tcBorders>
                    <w:left w:val="single" w:color="000000" w:sz="4" w:space="0"/>
                    <w:bottom w:val="single" w:color="000000" w:sz="4" w:space="0"/>
                  </w:tcBorders>
                  <w:shd w:val="clear" w:color="auto" w:fill="auto"/>
                  <w:vAlign w:val="center"/>
                </w:tcPr>
                <w:p w14:paraId="06793274">
                  <w:pPr>
                    <w:rPr>
                      <w:b/>
                      <w:color w:val="000000"/>
                      <w:sz w:val="21"/>
                      <w:szCs w:val="21"/>
                    </w:rPr>
                  </w:pPr>
                  <w:r>
                    <w:rPr>
                      <w:b/>
                      <w:sz w:val="21"/>
                      <w:szCs w:val="21"/>
                    </w:rPr>
                    <w:t>112.674</w:t>
                  </w:r>
                </w:p>
              </w:tc>
              <w:tc>
                <w:tcPr>
                  <w:tcW w:w="1590" w:type="dxa"/>
                  <w:tcBorders>
                    <w:left w:val="single" w:color="000000" w:sz="4" w:space="0"/>
                    <w:bottom w:val="single" w:color="000000" w:sz="4" w:space="0"/>
                    <w:right w:val="single" w:color="000000" w:sz="4" w:space="0"/>
                  </w:tcBorders>
                  <w:shd w:val="clear" w:color="auto" w:fill="auto"/>
                  <w:vAlign w:val="center"/>
                </w:tcPr>
                <w:p w14:paraId="72914C34">
                  <w:pPr>
                    <w:widowControl w:val="0"/>
                    <w:jc w:val="center"/>
                    <w:rPr>
                      <w:sz w:val="21"/>
                      <w:szCs w:val="21"/>
                    </w:rPr>
                  </w:pPr>
                  <w:r>
                    <w:rPr>
                      <w:sz w:val="21"/>
                      <w:szCs w:val="21"/>
                    </w:rPr>
                    <w:t>R$ 588.158,28</w:t>
                  </w:r>
                </w:p>
              </w:tc>
            </w:tr>
            <w:tr w14:paraId="46878F4E">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c>
                <w:tcPr>
                  <w:tcW w:w="630" w:type="dxa"/>
                  <w:tcBorders>
                    <w:left w:val="single" w:color="000000" w:sz="4" w:space="0"/>
                    <w:bottom w:val="single" w:color="000000" w:sz="4" w:space="0"/>
                  </w:tcBorders>
                  <w:shd w:val="clear" w:color="auto" w:fill="auto"/>
                  <w:vAlign w:val="center"/>
                </w:tcPr>
                <w:p w14:paraId="70EEA3B5">
                  <w:pPr>
                    <w:widowControl w:val="0"/>
                    <w:jc w:val="center"/>
                    <w:rPr>
                      <w:b/>
                      <w:sz w:val="21"/>
                      <w:szCs w:val="21"/>
                    </w:rPr>
                  </w:pPr>
                </w:p>
                <w:p w14:paraId="0E0B4B7F">
                  <w:pPr>
                    <w:widowControl w:val="0"/>
                    <w:jc w:val="center"/>
                    <w:rPr>
                      <w:b/>
                      <w:sz w:val="21"/>
                      <w:szCs w:val="21"/>
                    </w:rPr>
                  </w:pPr>
                  <w:r>
                    <w:rPr>
                      <w:b/>
                      <w:sz w:val="21"/>
                      <w:szCs w:val="21"/>
                    </w:rPr>
                    <w:t>4</w:t>
                  </w:r>
                </w:p>
              </w:tc>
              <w:tc>
                <w:tcPr>
                  <w:tcW w:w="1980" w:type="dxa"/>
                  <w:tcBorders>
                    <w:left w:val="single" w:color="000000" w:sz="4" w:space="0"/>
                    <w:bottom w:val="single" w:color="000000" w:sz="4" w:space="0"/>
                  </w:tcBorders>
                  <w:shd w:val="clear" w:color="auto" w:fill="auto"/>
                  <w:vAlign w:val="center"/>
                </w:tcPr>
                <w:p w14:paraId="625BFA9C">
                  <w:pPr>
                    <w:widowControl w:val="0"/>
                    <w:jc w:val="both"/>
                    <w:rPr>
                      <w:color w:val="000000"/>
                      <w:sz w:val="21"/>
                      <w:szCs w:val="21"/>
                    </w:rPr>
                  </w:pPr>
                </w:p>
                <w:p w14:paraId="7DAA2AB4">
                  <w:pPr>
                    <w:widowControl w:val="0"/>
                    <w:jc w:val="both"/>
                  </w:pPr>
                  <w:r>
                    <w:rPr>
                      <w:color w:val="000000"/>
                      <w:sz w:val="21"/>
                      <w:szCs w:val="21"/>
                    </w:rPr>
                    <w:t xml:space="preserve">01 (um) Veículo para transporte de passageiros, em boas condições de conservação, com ar-condicionado, mínimo de 22 (vinte e dois) lugares para passageiros, com até </w:t>
                  </w:r>
                  <w:r>
                    <w:rPr>
                      <w:b/>
                      <w:color w:val="000000"/>
                      <w:sz w:val="21"/>
                      <w:szCs w:val="21"/>
                    </w:rPr>
                    <w:t>15 (quinze) anos</w:t>
                  </w:r>
                  <w:r>
                    <w:rPr>
                      <w:color w:val="000000"/>
                      <w:sz w:val="21"/>
                      <w:szCs w:val="21"/>
                    </w:rPr>
                    <w:t xml:space="preserve"> de fabricação, cadeira reclinável, cinto de segurança em todos os assentos, motorista para lotação, e acessibilidade para deficiente físico, caso seja necessário, pedágio e combustível.</w:t>
                  </w:r>
                </w:p>
              </w:tc>
              <w:tc>
                <w:tcPr>
                  <w:tcW w:w="1185" w:type="dxa"/>
                  <w:tcBorders>
                    <w:left w:val="single" w:color="000000" w:sz="4" w:space="0"/>
                    <w:bottom w:val="single" w:color="000000" w:sz="4" w:space="0"/>
                  </w:tcBorders>
                  <w:shd w:val="clear" w:color="auto" w:fill="auto"/>
                  <w:vAlign w:val="center"/>
                </w:tcPr>
                <w:p w14:paraId="04353B26">
                  <w:pPr>
                    <w:widowControl w:val="0"/>
                    <w:jc w:val="center"/>
                    <w:rPr>
                      <w:sz w:val="21"/>
                      <w:szCs w:val="21"/>
                    </w:rPr>
                  </w:pPr>
                </w:p>
                <w:p w14:paraId="092AC8BF">
                  <w:pPr>
                    <w:widowControl w:val="0"/>
                    <w:jc w:val="center"/>
                    <w:rPr>
                      <w:sz w:val="21"/>
                      <w:szCs w:val="21"/>
                    </w:rPr>
                  </w:pPr>
                  <w:r>
                    <w:rPr>
                      <w:sz w:val="21"/>
                      <w:szCs w:val="21"/>
                    </w:rPr>
                    <w:t>R$ 6,90</w:t>
                  </w:r>
                </w:p>
              </w:tc>
              <w:tc>
                <w:tcPr>
                  <w:tcW w:w="1200" w:type="dxa"/>
                  <w:tcBorders>
                    <w:left w:val="single" w:color="000000" w:sz="4" w:space="0"/>
                    <w:bottom w:val="single" w:color="000000" w:sz="4" w:space="0"/>
                  </w:tcBorders>
                  <w:shd w:val="clear" w:color="auto" w:fill="auto"/>
                  <w:vAlign w:val="center"/>
                </w:tcPr>
                <w:p w14:paraId="4963F3BE">
                  <w:pPr>
                    <w:widowControl w:val="0"/>
                    <w:jc w:val="center"/>
                    <w:rPr>
                      <w:sz w:val="21"/>
                      <w:szCs w:val="21"/>
                    </w:rPr>
                  </w:pPr>
                </w:p>
                <w:p w14:paraId="1A8AAE3F">
                  <w:pPr>
                    <w:widowControl w:val="0"/>
                    <w:jc w:val="center"/>
                    <w:rPr>
                      <w:sz w:val="21"/>
                      <w:szCs w:val="21"/>
                    </w:rPr>
                  </w:pPr>
                  <w:r>
                    <w:rPr>
                      <w:sz w:val="21"/>
                      <w:szCs w:val="21"/>
                    </w:rPr>
                    <w:t>-</w:t>
                  </w:r>
                </w:p>
              </w:tc>
              <w:tc>
                <w:tcPr>
                  <w:tcW w:w="1125" w:type="dxa"/>
                  <w:tcBorders>
                    <w:left w:val="single" w:color="000000" w:sz="4" w:space="0"/>
                    <w:bottom w:val="single" w:color="000000" w:sz="4" w:space="0"/>
                  </w:tcBorders>
                  <w:shd w:val="clear" w:color="auto" w:fill="auto"/>
                  <w:vAlign w:val="center"/>
                </w:tcPr>
                <w:p w14:paraId="554B61C8">
                  <w:pPr>
                    <w:widowControl w:val="0"/>
                    <w:jc w:val="center"/>
                    <w:rPr>
                      <w:sz w:val="21"/>
                      <w:szCs w:val="21"/>
                    </w:rPr>
                  </w:pPr>
                </w:p>
                <w:p w14:paraId="47F306A7">
                  <w:pPr>
                    <w:widowControl w:val="0"/>
                    <w:jc w:val="center"/>
                    <w:rPr>
                      <w:sz w:val="21"/>
                      <w:szCs w:val="21"/>
                    </w:rPr>
                  </w:pPr>
                  <w:r>
                    <w:rPr>
                      <w:sz w:val="21"/>
                      <w:szCs w:val="21"/>
                    </w:rPr>
                    <w:t>R$ 7,86</w:t>
                  </w:r>
                </w:p>
              </w:tc>
              <w:tc>
                <w:tcPr>
                  <w:tcW w:w="1305" w:type="dxa"/>
                  <w:tcBorders>
                    <w:left w:val="single" w:color="000000" w:sz="4" w:space="0"/>
                    <w:bottom w:val="single" w:color="000000" w:sz="4" w:space="0"/>
                  </w:tcBorders>
                  <w:shd w:val="clear" w:color="auto" w:fill="auto"/>
                  <w:vAlign w:val="center"/>
                </w:tcPr>
                <w:p w14:paraId="51531C11">
                  <w:pPr>
                    <w:widowControl w:val="0"/>
                    <w:jc w:val="center"/>
                    <w:rPr>
                      <w:b/>
                      <w:sz w:val="21"/>
                      <w:szCs w:val="21"/>
                    </w:rPr>
                  </w:pPr>
                </w:p>
                <w:p w14:paraId="7C68AB7D">
                  <w:pPr>
                    <w:widowControl w:val="0"/>
                    <w:jc w:val="center"/>
                    <w:rPr>
                      <w:b/>
                      <w:sz w:val="21"/>
                      <w:szCs w:val="21"/>
                    </w:rPr>
                  </w:pPr>
                  <w:r>
                    <w:rPr>
                      <w:b/>
                      <w:sz w:val="21"/>
                      <w:szCs w:val="21"/>
                    </w:rPr>
                    <w:t>R$ 7,38</w:t>
                  </w:r>
                </w:p>
              </w:tc>
              <w:tc>
                <w:tcPr>
                  <w:tcW w:w="1020" w:type="dxa"/>
                  <w:tcBorders>
                    <w:left w:val="single" w:color="000000" w:sz="4" w:space="0"/>
                    <w:bottom w:val="single" w:color="000000" w:sz="4" w:space="0"/>
                  </w:tcBorders>
                  <w:shd w:val="clear" w:color="auto" w:fill="auto"/>
                  <w:vAlign w:val="center"/>
                </w:tcPr>
                <w:p w14:paraId="5687C927">
                  <w:pPr>
                    <w:widowControl w:val="0"/>
                    <w:jc w:val="center"/>
                    <w:rPr>
                      <w:b/>
                      <w:sz w:val="21"/>
                      <w:szCs w:val="21"/>
                    </w:rPr>
                  </w:pPr>
                </w:p>
                <w:p w14:paraId="323CC8FE">
                  <w:pPr>
                    <w:widowControl w:val="0"/>
                    <w:jc w:val="center"/>
                    <w:rPr>
                      <w:b/>
                      <w:sz w:val="21"/>
                      <w:szCs w:val="21"/>
                    </w:rPr>
                  </w:pPr>
                  <w:r>
                    <w:rPr>
                      <w:b/>
                      <w:sz w:val="21"/>
                      <w:szCs w:val="21"/>
                    </w:rPr>
                    <w:t>54.206</w:t>
                  </w:r>
                </w:p>
              </w:tc>
              <w:tc>
                <w:tcPr>
                  <w:tcW w:w="1590" w:type="dxa"/>
                  <w:tcBorders>
                    <w:left w:val="single" w:color="000000" w:sz="4" w:space="0"/>
                    <w:bottom w:val="single" w:color="000000" w:sz="4" w:space="0"/>
                    <w:right w:val="single" w:color="000000" w:sz="4" w:space="0"/>
                  </w:tcBorders>
                  <w:shd w:val="clear" w:color="auto" w:fill="auto"/>
                  <w:vAlign w:val="center"/>
                </w:tcPr>
                <w:p w14:paraId="60F77A5C">
                  <w:pPr>
                    <w:widowControl w:val="0"/>
                    <w:jc w:val="center"/>
                    <w:rPr>
                      <w:sz w:val="21"/>
                      <w:szCs w:val="21"/>
                    </w:rPr>
                  </w:pPr>
                </w:p>
                <w:p w14:paraId="111DFD35">
                  <w:r>
                    <w:t>R$ 400.040,28</w:t>
                  </w:r>
                </w:p>
              </w:tc>
            </w:tr>
            <w:tr w14:paraId="3B319367">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c>
                <w:tcPr>
                  <w:tcW w:w="10035" w:type="dxa"/>
                  <w:gridSpan w:val="8"/>
                  <w:tcBorders>
                    <w:left w:val="single" w:color="000000" w:sz="4" w:space="0"/>
                    <w:bottom w:val="single" w:color="000000" w:sz="4" w:space="0"/>
                    <w:right w:val="single" w:color="000000" w:sz="4" w:space="0"/>
                  </w:tcBorders>
                  <w:shd w:val="clear" w:color="auto" w:fill="auto"/>
                  <w:vAlign w:val="center"/>
                </w:tcPr>
                <w:p w14:paraId="59916DE3">
                  <w:pPr>
                    <w:widowControl w:val="0"/>
                    <w:jc w:val="right"/>
                    <w:rPr>
                      <w:b/>
                      <w:sz w:val="21"/>
                      <w:szCs w:val="21"/>
                    </w:rPr>
                  </w:pPr>
                  <w:r>
                    <w:rPr>
                      <w:b/>
                      <w:sz w:val="21"/>
                      <w:szCs w:val="21"/>
                    </w:rPr>
                    <w:t>TOTAL: R$ 7.490.068,35</w:t>
                  </w:r>
                </w:p>
              </w:tc>
            </w:tr>
          </w:tbl>
          <w:p w14:paraId="77F0AC82">
            <w:pPr>
              <w:widowControl w:val="0"/>
              <w:spacing w:after="0" w:line="360" w:lineRule="auto"/>
              <w:jc w:val="both"/>
              <w:rPr>
                <w:color w:val="00000A"/>
                <w:sz w:val="23"/>
                <w:szCs w:val="23"/>
              </w:rPr>
            </w:pPr>
          </w:p>
          <w:p w14:paraId="6716EC1D">
            <w:pPr>
              <w:widowControl w:val="0"/>
              <w:spacing w:after="0" w:line="276" w:lineRule="auto"/>
              <w:jc w:val="both"/>
              <w:rPr>
                <w:sz w:val="23"/>
                <w:szCs w:val="23"/>
              </w:rPr>
            </w:pPr>
            <w:r>
              <w:rPr>
                <w:color w:val="00000A"/>
                <w:sz w:val="23"/>
                <w:szCs w:val="23"/>
              </w:rPr>
              <w:t>Desta forma, i</w:t>
            </w:r>
            <w:r>
              <w:rPr>
                <w:color w:val="222222"/>
                <w:sz w:val="23"/>
                <w:szCs w:val="23"/>
              </w:rPr>
              <w:t xml:space="preserve">mportante destacar que os valores das respectivas contratações analisadas servem apenas como parâmetro e ciência do praticado no mercado, não significando que serão exatamente esses os valores contratados para o presente, </w:t>
            </w:r>
            <w:r>
              <w:rPr>
                <w:color w:val="000000"/>
                <w:sz w:val="23"/>
                <w:szCs w:val="23"/>
              </w:rPr>
              <w:t>tendo em vista que a especificidade e descritivo dos itens se divergem de acordo com a necessidade de cada entidade.</w:t>
            </w:r>
          </w:p>
        </w:tc>
      </w:tr>
    </w:tbl>
    <w:p w14:paraId="711292C0">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26"/>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1388489A">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7094B247">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DESCRIÇÃO DA SOLUÇÃO COMO UM TODO:</w:t>
            </w:r>
          </w:p>
        </w:tc>
      </w:tr>
      <w:tr w14:paraId="3693DA3D">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466" w:hRule="atLeast"/>
        </w:trPr>
        <w:tc>
          <w:tcPr>
            <w:tcW w:w="10155" w:type="dxa"/>
            <w:tcBorders>
              <w:top w:val="single" w:color="00000A" w:sz="4" w:space="0"/>
              <w:left w:val="single" w:color="00000A" w:sz="4" w:space="0"/>
              <w:bottom w:val="single" w:color="00000A" w:sz="4" w:space="0"/>
              <w:right w:val="single" w:color="00000A" w:sz="4" w:space="0"/>
            </w:tcBorders>
            <w:shd w:val="clear" w:color="auto" w:fill="auto"/>
            <w:vAlign w:val="center"/>
          </w:tcPr>
          <w:p w14:paraId="6E560AB1">
            <w:pPr>
              <w:widowControl w:val="0"/>
              <w:spacing w:after="0" w:line="360" w:lineRule="auto"/>
              <w:jc w:val="both"/>
              <w:rPr>
                <w:b/>
                <w:color w:val="00000A"/>
                <w:sz w:val="23"/>
                <w:szCs w:val="23"/>
              </w:rPr>
            </w:pPr>
          </w:p>
          <w:p w14:paraId="72C2D505">
            <w:pPr>
              <w:widowControl w:val="0"/>
              <w:spacing w:after="0" w:line="360" w:lineRule="auto"/>
              <w:jc w:val="both"/>
              <w:rPr>
                <w:sz w:val="23"/>
                <w:szCs w:val="23"/>
              </w:rPr>
            </w:pPr>
            <w:r>
              <w:rPr>
                <w:sz w:val="23"/>
                <w:szCs w:val="23"/>
              </w:rPr>
              <w:t>A</w:t>
            </w:r>
            <w:r>
              <w:rPr>
                <w:color w:val="00000A"/>
                <w:sz w:val="23"/>
                <w:szCs w:val="23"/>
              </w:rPr>
              <w:t xml:space="preserve"> realização de nova contratação para o transporte de passageiros (pacientes e acompanhantes) se faz necessária diante da recusa por parte da atual prestadora do serviço em renovar a Ata de Registro de Preços n° 376/2024, cuja expiração dar-se-á em 04/12/25, considerando que o serviço em tela é contínuo e imprescindível, </w:t>
            </w:r>
            <w:r>
              <w:rPr>
                <w:color w:val="000000"/>
                <w:sz w:val="23"/>
                <w:szCs w:val="23"/>
                <w:highlight w:val="white"/>
              </w:rPr>
              <w:t>assegurando o funcionamento das atividades nas Unidades de saúde, de modo que sua interrupção poderá comprometer a prestação de um serviço público ou o cumprimento de sua missão institucional.</w:t>
            </w:r>
          </w:p>
          <w:p w14:paraId="37731255">
            <w:pPr>
              <w:widowControl w:val="0"/>
              <w:spacing w:after="0" w:line="360" w:lineRule="auto"/>
              <w:jc w:val="both"/>
              <w:rPr>
                <w:sz w:val="23"/>
                <w:szCs w:val="23"/>
              </w:rPr>
            </w:pPr>
          </w:p>
          <w:p w14:paraId="549327E9">
            <w:pPr>
              <w:widowControl w:val="0"/>
              <w:spacing w:after="0" w:line="360" w:lineRule="auto"/>
              <w:jc w:val="both"/>
              <w:rPr>
                <w:b/>
                <w:color w:val="00000A"/>
                <w:sz w:val="23"/>
                <w:szCs w:val="23"/>
              </w:rPr>
            </w:pPr>
            <w:r>
              <w:rPr>
                <w:color w:val="000000"/>
                <w:sz w:val="23"/>
                <w:szCs w:val="23"/>
                <w:highlight w:val="white"/>
              </w:rPr>
              <w:t>A</w:t>
            </w:r>
            <w:r>
              <w:rPr>
                <w:color w:val="00000A"/>
                <w:sz w:val="23"/>
                <w:szCs w:val="23"/>
              </w:rPr>
              <w:t xml:space="preserve"> contratação de empresa especializada para a prestação do serviço foi a melhor solução encontrada, considerando todo o levantamento e estudos acima apresentados, haja vista que a empresa contratada para prestar</w:t>
            </w:r>
            <w:r>
              <w:rPr>
                <w:b/>
                <w:color w:val="00000A"/>
                <w:sz w:val="23"/>
                <w:szCs w:val="23"/>
              </w:rPr>
              <w:t xml:space="preserve"> o serviço de transporte de passageiros, nas condições e especificações contidas neste Termo de Referência, representa economia, segurança e rapidez na prestação do serviço, devido ao fato da Secretaria Municipal de Saúde não possuir na sua frota veículos que atendam a demanda pretendida.</w:t>
            </w:r>
          </w:p>
          <w:p w14:paraId="2C6EF81A">
            <w:pPr>
              <w:widowControl w:val="0"/>
              <w:spacing w:after="0" w:line="360" w:lineRule="auto"/>
              <w:jc w:val="both"/>
              <w:rPr>
                <w:b/>
                <w:color w:val="00000A"/>
                <w:sz w:val="23"/>
                <w:szCs w:val="23"/>
              </w:rPr>
            </w:pPr>
          </w:p>
          <w:p w14:paraId="3830CAD9">
            <w:pPr>
              <w:widowControl w:val="0"/>
              <w:spacing w:after="0" w:line="360" w:lineRule="auto"/>
              <w:jc w:val="both"/>
              <w:rPr>
                <w:b/>
                <w:color w:val="00000A"/>
                <w:sz w:val="23"/>
                <w:szCs w:val="23"/>
              </w:rPr>
            </w:pPr>
            <w:r>
              <w:rPr>
                <w:b/>
                <w:color w:val="00000A"/>
                <w:sz w:val="23"/>
                <w:szCs w:val="23"/>
              </w:rPr>
              <w:t>Cabendo registrar que a presente solução já é conhecida pela administração, considerando ser um objeto corriqueiro, contínuo e imprescindível.</w:t>
            </w:r>
          </w:p>
          <w:p w14:paraId="42E2B2A9">
            <w:pPr>
              <w:widowControl w:val="0"/>
              <w:spacing w:after="0" w:line="360" w:lineRule="auto"/>
              <w:jc w:val="both"/>
              <w:rPr>
                <w:sz w:val="23"/>
                <w:szCs w:val="23"/>
              </w:rPr>
            </w:pPr>
          </w:p>
          <w:p w14:paraId="0DECD058">
            <w:pPr>
              <w:widowControl w:val="0"/>
              <w:spacing w:after="0" w:line="360" w:lineRule="auto"/>
              <w:jc w:val="both"/>
              <w:rPr>
                <w:color w:val="00000A"/>
                <w:sz w:val="23"/>
                <w:szCs w:val="23"/>
              </w:rPr>
            </w:pPr>
            <w:r>
              <w:rPr>
                <w:color w:val="00000A"/>
                <w:sz w:val="23"/>
                <w:szCs w:val="23"/>
              </w:rPr>
              <w:t xml:space="preserve">A presente contratação se faz, ainda, necessária e resultará benéfica e vantajosa, pelas seguintes razões: </w:t>
            </w:r>
          </w:p>
          <w:p w14:paraId="5101765E">
            <w:pPr>
              <w:widowControl w:val="0"/>
              <w:spacing w:after="0" w:line="360" w:lineRule="auto"/>
              <w:jc w:val="both"/>
              <w:rPr>
                <w:color w:val="00000A"/>
                <w:sz w:val="23"/>
                <w:szCs w:val="23"/>
              </w:rPr>
            </w:pPr>
            <w:r>
              <w:rPr>
                <w:color w:val="00000A"/>
                <w:sz w:val="23"/>
                <w:szCs w:val="23"/>
              </w:rPr>
              <w:t xml:space="preserve">a) Indisponibilidade de mão de obra especializada no quadro funcional, bem como dos veículos indispensáveis para execução dos serviços; </w:t>
            </w:r>
          </w:p>
          <w:p w14:paraId="4026C90B">
            <w:pPr>
              <w:widowControl w:val="0"/>
              <w:spacing w:after="0" w:line="360" w:lineRule="auto"/>
              <w:jc w:val="both"/>
              <w:rPr>
                <w:color w:val="00000A"/>
                <w:sz w:val="23"/>
                <w:szCs w:val="23"/>
              </w:rPr>
            </w:pPr>
            <w:r>
              <w:rPr>
                <w:color w:val="00000A"/>
                <w:sz w:val="23"/>
                <w:szCs w:val="23"/>
              </w:rPr>
              <w:t xml:space="preserve">b) Será exercida por empresa especializada devidamente habilitada e com utilização de mão de obra detentora de formação profissional específica; </w:t>
            </w:r>
          </w:p>
          <w:p w14:paraId="2AFB7D1E">
            <w:pPr>
              <w:widowControl w:val="0"/>
              <w:spacing w:after="0" w:line="360" w:lineRule="auto"/>
              <w:jc w:val="both"/>
              <w:rPr>
                <w:color w:val="00000A"/>
                <w:sz w:val="23"/>
                <w:szCs w:val="23"/>
              </w:rPr>
            </w:pPr>
            <w:r>
              <w:rPr>
                <w:color w:val="00000A"/>
                <w:sz w:val="23"/>
                <w:szCs w:val="23"/>
              </w:rPr>
              <w:t>c) Utiliza rotinas e define perfil de mão de obra, que possibilitam maior eficiência no desenvolvimento de ações preventivas;</w:t>
            </w:r>
          </w:p>
          <w:p w14:paraId="0CFBC4BD">
            <w:pPr>
              <w:widowControl w:val="0"/>
              <w:spacing w:after="0" w:line="360" w:lineRule="auto"/>
              <w:jc w:val="both"/>
              <w:rPr>
                <w:color w:val="00000A"/>
                <w:sz w:val="23"/>
                <w:szCs w:val="23"/>
              </w:rPr>
            </w:pPr>
            <w:r>
              <w:rPr>
                <w:color w:val="00000A"/>
                <w:sz w:val="23"/>
                <w:szCs w:val="23"/>
              </w:rPr>
              <w:t>d) Não implicará em custos com contratação, treinamento e administração de mão de obra por parte da Administração Pública Municipal;</w:t>
            </w:r>
          </w:p>
          <w:p w14:paraId="31B73C29">
            <w:pPr>
              <w:widowControl w:val="0"/>
              <w:spacing w:after="0" w:line="360" w:lineRule="auto"/>
              <w:jc w:val="both"/>
              <w:rPr>
                <w:color w:val="00000A"/>
                <w:sz w:val="23"/>
                <w:szCs w:val="23"/>
              </w:rPr>
            </w:pPr>
            <w:r>
              <w:rPr>
                <w:color w:val="00000A"/>
                <w:sz w:val="23"/>
                <w:szCs w:val="23"/>
              </w:rPr>
              <w:t xml:space="preserve">e) Os padrões definidos pela Administração que contam com especificações usuais no mercado, permitirão a permanente mensuração qualitativa e quantitativa dos resultados, maximizando o aproveitamento dos serviços prestados; </w:t>
            </w:r>
          </w:p>
          <w:p w14:paraId="5D8BBEE5">
            <w:pPr>
              <w:widowControl w:val="0"/>
              <w:spacing w:after="0" w:line="360" w:lineRule="auto"/>
              <w:jc w:val="both"/>
              <w:rPr>
                <w:color w:val="00000A"/>
                <w:sz w:val="23"/>
                <w:szCs w:val="23"/>
              </w:rPr>
            </w:pPr>
            <w:r>
              <w:rPr>
                <w:color w:val="00000A"/>
                <w:sz w:val="23"/>
                <w:szCs w:val="23"/>
              </w:rPr>
              <w:t>f) Os parâmetros definidos para o objeto da licitação e para prestação dos serviços possibilitam obter preço compatível com a finalidade estabelecida.</w:t>
            </w:r>
          </w:p>
          <w:p w14:paraId="55273467">
            <w:pPr>
              <w:widowControl w:val="0"/>
              <w:spacing w:after="0" w:line="360" w:lineRule="auto"/>
              <w:jc w:val="both"/>
              <w:rPr>
                <w:color w:val="00000A"/>
                <w:sz w:val="23"/>
                <w:szCs w:val="23"/>
              </w:rPr>
            </w:pPr>
            <w:r>
              <w:rPr>
                <w:color w:val="00000A"/>
                <w:sz w:val="23"/>
                <w:szCs w:val="23"/>
              </w:rPr>
              <w:t xml:space="preserve">g) Todos os custos de manutenção, abastecimento e seguro são de responsabilidade da contratada. </w:t>
            </w:r>
          </w:p>
          <w:p w14:paraId="5C122BC2">
            <w:pPr>
              <w:widowControl w:val="0"/>
              <w:spacing w:after="0" w:line="360" w:lineRule="auto"/>
              <w:jc w:val="both"/>
              <w:rPr>
                <w:sz w:val="23"/>
                <w:szCs w:val="23"/>
              </w:rPr>
            </w:pPr>
          </w:p>
          <w:p w14:paraId="4025913C">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0" w:line="360" w:lineRule="auto"/>
              <w:ind w:right="113"/>
              <w:jc w:val="both"/>
              <w:rPr>
                <w:color w:val="000000"/>
                <w:sz w:val="23"/>
                <w:szCs w:val="23"/>
              </w:rPr>
            </w:pPr>
            <w:r>
              <w:rPr>
                <w:color w:val="000000"/>
                <w:sz w:val="23"/>
                <w:szCs w:val="23"/>
              </w:rPr>
              <w:t>A contratada responderá exclusiva e integralmente pela utilização de pessoal para execução do objeto contratado, incluídos os encargos trabalhistas, previdenciários, sociais, fiscais e comerciais resultantes de vínculo empregatício, ou comercial, cujo ônus e obrigações em nenhuma hipótese poderão ser transferidos para a Secretaria Municipal de Saúde de Nova Friburgo.</w:t>
            </w:r>
          </w:p>
          <w:p w14:paraId="7C4189E1">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left="1425"/>
              <w:jc w:val="both"/>
              <w:rPr>
                <w:color w:val="000000"/>
                <w:sz w:val="23"/>
                <w:szCs w:val="23"/>
              </w:rPr>
            </w:pPr>
          </w:p>
          <w:p w14:paraId="795369D5">
            <w:pPr>
              <w:widowControl w:val="0"/>
              <w:numPr>
                <w:ilvl w:val="1"/>
                <w:numId w:val="2"/>
              </w:numPr>
              <w:pBdr>
                <w:top w:val="none" w:color="auto" w:sz="0" w:space="0"/>
                <w:left w:val="none" w:color="auto" w:sz="0" w:space="0"/>
                <w:bottom w:val="none" w:color="auto" w:sz="0" w:space="0"/>
                <w:right w:val="none" w:color="auto" w:sz="0" w:space="0"/>
                <w:between w:val="none" w:color="auto" w:sz="0" w:space="0"/>
              </w:pBdr>
              <w:spacing w:after="200" w:line="360" w:lineRule="auto"/>
              <w:ind w:left="-57" w:right="227" w:firstLine="57"/>
              <w:jc w:val="both"/>
              <w:rPr>
                <w:color w:val="00000A"/>
                <w:sz w:val="23"/>
                <w:szCs w:val="23"/>
              </w:rPr>
            </w:pPr>
            <w:r>
              <w:rPr>
                <w:color w:val="00000A"/>
                <w:sz w:val="23"/>
                <w:szCs w:val="23"/>
              </w:rPr>
              <w:t>A execução do serviço deverá ser realizada por meio de profissionais capacitados responsabilizando-se por quaisquer danos causados pelos mesmos aos pacientes, decorrentes de omissão, negligência, imperícia ou imprudência.</w:t>
            </w:r>
          </w:p>
          <w:p w14:paraId="100FFC34">
            <w:pPr>
              <w:widowControl w:val="0"/>
              <w:spacing w:line="360" w:lineRule="auto"/>
              <w:ind w:right="113"/>
              <w:jc w:val="both"/>
              <w:rPr>
                <w:sz w:val="23"/>
                <w:szCs w:val="23"/>
              </w:rPr>
            </w:pPr>
            <w:r>
              <w:rPr>
                <w:color w:val="00000A"/>
                <w:sz w:val="23"/>
                <w:szCs w:val="23"/>
              </w:rPr>
              <w:t>Há que ressaltar que, a</w:t>
            </w:r>
            <w:r>
              <w:rPr>
                <w:sz w:val="23"/>
                <w:szCs w:val="23"/>
              </w:rPr>
              <w:t xml:space="preserve"> presente contratação </w:t>
            </w:r>
            <w:r>
              <w:rPr>
                <w:color w:val="00000A"/>
                <w:sz w:val="23"/>
                <w:szCs w:val="23"/>
              </w:rPr>
              <w:t>a presente contratação é extremamente necessária para o melhor atendimento aos usuários da Rede Municipal de Saúde de Nova Friburgo tendo como principal objetivo transportar com eficiência e segurança os pacientes do SUS.</w:t>
            </w:r>
          </w:p>
          <w:p w14:paraId="504B190D">
            <w:pPr>
              <w:widowControl w:val="0"/>
              <w:spacing w:after="0" w:line="360" w:lineRule="auto"/>
              <w:ind w:right="227"/>
              <w:jc w:val="both"/>
              <w:rPr>
                <w:sz w:val="23"/>
                <w:szCs w:val="23"/>
              </w:rPr>
            </w:pPr>
            <w:r>
              <w:rPr>
                <w:sz w:val="23"/>
                <w:szCs w:val="23"/>
              </w:rPr>
              <w:t>Posto isto, esta solução foi se caracteriza como a mais vantajosa e mais eficaz para a contratação.</w:t>
            </w:r>
          </w:p>
          <w:p w14:paraId="6C0CF078">
            <w:pPr>
              <w:widowControl w:val="0"/>
              <w:spacing w:after="0" w:line="360" w:lineRule="auto"/>
              <w:ind w:right="227"/>
              <w:jc w:val="both"/>
              <w:rPr>
                <w:sz w:val="23"/>
                <w:szCs w:val="23"/>
              </w:rPr>
            </w:pPr>
          </w:p>
          <w:p w14:paraId="47722940">
            <w:pPr>
              <w:widowControl w:val="0"/>
              <w:numPr>
                <w:ilvl w:val="0"/>
                <w:numId w:val="3"/>
              </w:numPr>
              <w:spacing w:after="0" w:line="360" w:lineRule="auto"/>
              <w:ind w:right="227"/>
              <w:jc w:val="both"/>
              <w:rPr>
                <w:b/>
                <w:sz w:val="23"/>
                <w:szCs w:val="23"/>
              </w:rPr>
            </w:pPr>
            <w:r>
              <w:rPr>
                <w:b/>
                <w:sz w:val="23"/>
                <w:szCs w:val="23"/>
              </w:rPr>
              <w:t>Da alteração da idade de veículo referente ao item 01 de 05 anos para 03 anos:</w:t>
            </w:r>
          </w:p>
          <w:p w14:paraId="01A54742">
            <w:pPr>
              <w:widowControl w:val="0"/>
              <w:spacing w:before="240" w:after="240" w:line="360" w:lineRule="auto"/>
              <w:jc w:val="both"/>
              <w:rPr>
                <w:sz w:val="20"/>
                <w:szCs w:val="20"/>
              </w:rPr>
            </w:pPr>
            <w:r>
              <w:rPr>
                <w:sz w:val="20"/>
                <w:szCs w:val="20"/>
              </w:rPr>
              <w:t xml:space="preserve">Justificativa para a Cláusula de Limitação de Idade dos Veículos, devido ao grande fluxo de quilometragem atingidas Ex.:Média diária de 350 km x 365 dias x 12 meses = </w:t>
            </w:r>
            <w:r>
              <w:rPr>
                <w:b/>
                <w:sz w:val="20"/>
                <w:szCs w:val="20"/>
              </w:rPr>
              <w:t>1.533.000 (um milhão quinhentos e trinta e tres mil)</w:t>
            </w:r>
            <w:r>
              <w:rPr>
                <w:sz w:val="20"/>
                <w:szCs w:val="20"/>
              </w:rPr>
              <w:t xml:space="preserve"> km rodados ao final de 12 meses. Seguindo as solicitações anteriores, destaca se ainda que no exemplo acima o veículo possui as credenciais ao que dispõe a cláusula de exigência em relação ao ano de fabricação do veículo(13 anos de sua fabricação), assim torna se razoável a interpretação no que se refere ao abaixo descrito:</w:t>
            </w:r>
          </w:p>
          <w:p w14:paraId="3CAB5BA2">
            <w:pPr>
              <w:widowControl w:val="0"/>
              <w:spacing w:before="240" w:after="240" w:line="360" w:lineRule="auto"/>
              <w:jc w:val="both"/>
              <w:rPr>
                <w:sz w:val="20"/>
                <w:szCs w:val="20"/>
              </w:rPr>
            </w:pPr>
            <w:r>
              <w:rPr>
                <w:sz w:val="20"/>
                <w:szCs w:val="20"/>
              </w:rPr>
              <w:t>Segurança:</w:t>
            </w:r>
          </w:p>
          <w:p w14:paraId="14E73996">
            <w:pPr>
              <w:widowControl w:val="0"/>
              <w:spacing w:before="240" w:after="240" w:line="360" w:lineRule="auto"/>
              <w:jc w:val="both"/>
              <w:rPr>
                <w:sz w:val="20"/>
                <w:szCs w:val="20"/>
              </w:rPr>
            </w:pPr>
            <w:r>
              <w:rPr>
                <w:sz w:val="20"/>
                <w:szCs w:val="20"/>
              </w:rPr>
              <w:t>Veículos mais novos geralmente apresentam melhores condições de segurança em comparação com veículos mais antigos. Com tecnologias de segurança avançadas e atualizações regulares, veículos com até 03 anos de uso tendem a ter sistemas de freios, airbags, e controles de estabilidade mais eficientes, reduzindo o risco de acidentes e garantindo a integridade física dos ocupantes.</w:t>
            </w:r>
          </w:p>
          <w:p w14:paraId="0598E55F">
            <w:pPr>
              <w:widowControl w:val="0"/>
              <w:spacing w:before="240" w:after="240" w:line="360" w:lineRule="auto"/>
              <w:jc w:val="both"/>
              <w:rPr>
                <w:sz w:val="20"/>
                <w:szCs w:val="20"/>
              </w:rPr>
            </w:pPr>
            <w:r>
              <w:rPr>
                <w:sz w:val="20"/>
                <w:szCs w:val="20"/>
              </w:rPr>
              <w:t>Confiabilidade e Manutenção:</w:t>
            </w:r>
          </w:p>
          <w:p w14:paraId="55A411A0">
            <w:pPr>
              <w:widowControl w:val="0"/>
              <w:spacing w:before="240" w:after="240" w:line="360" w:lineRule="auto"/>
              <w:jc w:val="both"/>
              <w:rPr>
                <w:sz w:val="20"/>
                <w:szCs w:val="20"/>
              </w:rPr>
            </w:pPr>
            <w:r>
              <w:rPr>
                <w:sz w:val="20"/>
                <w:szCs w:val="20"/>
              </w:rPr>
              <w:t>Veículos mais novos são menos propensos a apresentar problemas mecânicos e falhas, o que resulta em maior confiabilidade operacional. A necessidade de manutenção e reparos é reduzida, evitando interrupções nos serviços e custos adicionais imprevistos com consertos. Isso também diminui o risco de paralisação das atividades contratadas devido a defeitos nos veículos.</w:t>
            </w:r>
          </w:p>
          <w:p w14:paraId="12451619">
            <w:pPr>
              <w:widowControl w:val="0"/>
              <w:spacing w:before="240" w:after="240" w:line="360" w:lineRule="auto"/>
              <w:jc w:val="both"/>
              <w:rPr>
                <w:sz w:val="20"/>
                <w:szCs w:val="20"/>
              </w:rPr>
            </w:pPr>
            <w:r>
              <w:rPr>
                <w:sz w:val="20"/>
                <w:szCs w:val="20"/>
              </w:rPr>
              <w:t>Eficiência e Economia de Combustível:</w:t>
            </w:r>
          </w:p>
          <w:p w14:paraId="7F6D70EE">
            <w:pPr>
              <w:widowControl w:val="0"/>
              <w:spacing w:before="240" w:after="240" w:line="360" w:lineRule="auto"/>
              <w:jc w:val="both"/>
              <w:rPr>
                <w:sz w:val="20"/>
                <w:szCs w:val="20"/>
              </w:rPr>
            </w:pPr>
            <w:r>
              <w:rPr>
                <w:sz w:val="20"/>
                <w:szCs w:val="20"/>
              </w:rPr>
              <w:t>Modelos mais recentes tendem a ser mais eficientes no consumo de combustível, devido a melhorias contínuas na tecnologia automotiva. Isso não só reduz os custos operacionais com combustíveis, mas também contribui para práticas mais sustentáveis e um menor impacto ambiental.</w:t>
            </w:r>
          </w:p>
          <w:p w14:paraId="24924EFA">
            <w:pPr>
              <w:widowControl w:val="0"/>
              <w:spacing w:before="240" w:after="240" w:line="360" w:lineRule="auto"/>
              <w:jc w:val="both"/>
              <w:rPr>
                <w:sz w:val="20"/>
                <w:szCs w:val="20"/>
              </w:rPr>
            </w:pPr>
            <w:r>
              <w:rPr>
                <w:sz w:val="20"/>
                <w:szCs w:val="20"/>
              </w:rPr>
              <w:t xml:space="preserve"> Impacto Ambiental:</w:t>
            </w:r>
          </w:p>
          <w:p w14:paraId="1BEC91AF">
            <w:pPr>
              <w:widowControl w:val="0"/>
              <w:spacing w:before="240" w:after="240" w:line="360" w:lineRule="auto"/>
              <w:jc w:val="both"/>
              <w:rPr>
                <w:sz w:val="20"/>
                <w:szCs w:val="20"/>
              </w:rPr>
            </w:pPr>
            <w:r>
              <w:rPr>
                <w:sz w:val="20"/>
                <w:szCs w:val="20"/>
              </w:rPr>
              <w:t>Veículos com até 03 anos de uso geralmente atendem a normas ambientais mais rigorosas, apresentando menores emissões de gases poluentes. A adoção de uma frota mais nova contribui diretamente para a redução da pegada de carbono da operação, alinhando-se às políticas de sustentabilidade e responsabilidade ambiental.</w:t>
            </w:r>
          </w:p>
          <w:p w14:paraId="5D9D9747">
            <w:pPr>
              <w:widowControl w:val="0"/>
              <w:spacing w:before="240" w:after="240" w:line="360" w:lineRule="auto"/>
              <w:jc w:val="both"/>
              <w:rPr>
                <w:sz w:val="20"/>
                <w:szCs w:val="20"/>
              </w:rPr>
            </w:pPr>
            <w:r>
              <w:rPr>
                <w:sz w:val="20"/>
                <w:szCs w:val="20"/>
              </w:rPr>
              <w:t>Conforto e Imagem Corporativa:</w:t>
            </w:r>
          </w:p>
          <w:p w14:paraId="01C15B2F">
            <w:pPr>
              <w:widowControl w:val="0"/>
              <w:spacing w:before="240" w:after="240" w:line="360" w:lineRule="auto"/>
              <w:jc w:val="both"/>
              <w:rPr>
                <w:sz w:val="20"/>
                <w:szCs w:val="20"/>
              </w:rPr>
            </w:pPr>
            <w:r>
              <w:rPr>
                <w:sz w:val="20"/>
                <w:szCs w:val="20"/>
              </w:rPr>
              <w:t>Veículos mais novos oferecem maior conforto aos usuários, com interiores modernos e melhor ergonomia, o que pode ser um fator relevante para o bem-estar e a produtividade dos colaboradores. Além disso, uma frota atualizada projeta uma imagem de modernidade e profissionalismo para a instituição, reforçando sua credibilidade e reputação perante a sociedade e os stakeholders.</w:t>
            </w:r>
          </w:p>
          <w:p w14:paraId="71D3CC20">
            <w:pPr>
              <w:widowControl w:val="0"/>
              <w:spacing w:before="240" w:after="240" w:line="360" w:lineRule="auto"/>
              <w:jc w:val="both"/>
              <w:rPr>
                <w:sz w:val="20"/>
                <w:szCs w:val="20"/>
              </w:rPr>
            </w:pPr>
            <w:r>
              <w:rPr>
                <w:sz w:val="20"/>
                <w:szCs w:val="20"/>
              </w:rPr>
              <w:t>Conformidade com Normas e Regulamentações:</w:t>
            </w:r>
          </w:p>
          <w:p w14:paraId="654ACE5A">
            <w:pPr>
              <w:widowControl w:val="0"/>
              <w:spacing w:before="240" w:after="240" w:line="360" w:lineRule="auto"/>
              <w:jc w:val="both"/>
              <w:rPr>
                <w:sz w:val="20"/>
                <w:szCs w:val="20"/>
              </w:rPr>
            </w:pPr>
            <w:r>
              <w:rPr>
                <w:sz w:val="20"/>
                <w:szCs w:val="20"/>
              </w:rPr>
              <w:t>A inclusão dessa cláusula no edital está em conformidade com boas práticas de contratação pública e regulamentações pertinentes, que visam garantir a eficiência, segurança e sustentabilidade dos serviços contratados. Estabelecer um limite de idade para os veículos é uma prática comum em diversas esferas governamentais e empresariais, visando a otimização dos recursos públicos e privados.</w:t>
            </w:r>
          </w:p>
          <w:p w14:paraId="01DB44AA">
            <w:pPr>
              <w:widowControl w:val="0"/>
              <w:spacing w:before="240" w:after="240" w:line="360" w:lineRule="auto"/>
              <w:jc w:val="both"/>
              <w:rPr>
                <w:sz w:val="20"/>
                <w:szCs w:val="20"/>
              </w:rPr>
            </w:pPr>
            <w:r>
              <w:rPr>
                <w:sz w:val="20"/>
                <w:szCs w:val="20"/>
              </w:rPr>
              <w:t>Conclusão:</w:t>
            </w:r>
          </w:p>
          <w:p w14:paraId="7E3283CE">
            <w:pPr>
              <w:widowControl w:val="0"/>
              <w:spacing w:before="240" w:after="240" w:line="360" w:lineRule="auto"/>
              <w:jc w:val="both"/>
              <w:rPr>
                <w:sz w:val="20"/>
                <w:szCs w:val="20"/>
              </w:rPr>
            </w:pPr>
            <w:r>
              <w:rPr>
                <w:sz w:val="20"/>
                <w:szCs w:val="20"/>
              </w:rPr>
              <w:t>Portanto, a exigência de que os veículos locados tenham no máximo 03 anos de uso é uma medida justificada que visa assegurar a qualidade, segurança e eficiência dos serviços, além de contribuir para a sustentabilidade ambiental e a imagem institucional. Esta cláusula, portanto, atende aos interesses públicos de maneira responsável e transparente, garantindo que os serviços contratados sejam prestados com a máxima eficiência e confiabilidade. Refere se ao ítem 1.</w:t>
            </w:r>
          </w:p>
          <w:p w14:paraId="53E5EBCC">
            <w:pPr>
              <w:widowControl w:val="0"/>
              <w:spacing w:before="240" w:after="240" w:line="360" w:lineRule="auto"/>
              <w:jc w:val="both"/>
              <w:rPr>
                <w:sz w:val="20"/>
                <w:szCs w:val="20"/>
              </w:rPr>
            </w:pPr>
            <w:r>
              <w:rPr>
                <w:bCs/>
                <w:sz w:val="20"/>
                <w:szCs w:val="20"/>
              </w:rPr>
              <w:t>A presente contratação será através do Sistema de Registro de Preço de acordo com as hipóteses previstas no Decreto Federal n 11462/2023, Art. 3°</w:t>
            </w:r>
            <w:r>
              <w:rPr>
                <w:sz w:val="20"/>
                <w:szCs w:val="20"/>
              </w:rPr>
              <w:t>, inciso V, pela imprevisibilidade do quantitativo a ser utilizado.</w:t>
            </w:r>
          </w:p>
        </w:tc>
      </w:tr>
    </w:tbl>
    <w:p w14:paraId="61281A91">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27"/>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6727F024">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5A9026A8">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JUSTIFICATIVAS PARA O PARCELAMENTO OU NÃO DA SOLUÇÃO:</w:t>
            </w:r>
          </w:p>
        </w:tc>
      </w:tr>
      <w:tr w14:paraId="277936AE">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413" w:hRule="atLeast"/>
        </w:trPr>
        <w:tc>
          <w:tcPr>
            <w:tcW w:w="10155" w:type="dxa"/>
            <w:tcBorders>
              <w:top w:val="single" w:color="00000A" w:sz="4" w:space="0"/>
              <w:left w:val="single" w:color="00000A" w:sz="4" w:space="0"/>
              <w:bottom w:val="single" w:color="00000A" w:sz="4" w:space="0"/>
              <w:right w:val="single" w:color="00000A" w:sz="4" w:space="0"/>
            </w:tcBorders>
            <w:shd w:val="clear" w:color="auto" w:fill="auto"/>
          </w:tcPr>
          <w:p w14:paraId="0234919D">
            <w:pPr>
              <w:widowControl w:val="0"/>
              <w:pBdr>
                <w:top w:val="none" w:color="auto" w:sz="0" w:space="0"/>
                <w:left w:val="none" w:color="auto" w:sz="0" w:space="0"/>
                <w:bottom w:val="none" w:color="auto" w:sz="0" w:space="0"/>
                <w:right w:val="none" w:color="auto" w:sz="0" w:space="0"/>
                <w:between w:val="none" w:color="auto" w:sz="0" w:space="0"/>
              </w:pBdr>
              <w:spacing w:before="57" w:after="57" w:line="276" w:lineRule="auto"/>
              <w:ind w:right="170"/>
              <w:jc w:val="both"/>
              <w:rPr>
                <w:color w:val="00000A"/>
                <w:sz w:val="23"/>
                <w:szCs w:val="23"/>
              </w:rPr>
            </w:pPr>
            <w:r>
              <w:rPr>
                <w:color w:val="000000"/>
                <w:sz w:val="23"/>
                <w:szCs w:val="23"/>
              </w:rPr>
              <w:t>A contratação dar-se-á pela modalidade de Pregão Eletrônico, via registro de preços (modalidade Pregão, artigo 28, inciso I c/c artigo 78, inciso IV dos Procedimentos Auxiliares previstos na Lei nº Lei 14.133/2021), e será do tipo Menor Preço por Lote, considerando que a divisão do objeto dificultaria e muito a fiscalização por parte da administração pública.</w:t>
            </w:r>
          </w:p>
          <w:p w14:paraId="35C2E32A">
            <w:pPr>
              <w:widowControl w:val="0"/>
              <w:pBdr>
                <w:top w:val="none" w:color="auto" w:sz="0" w:space="0"/>
                <w:left w:val="none" w:color="auto" w:sz="0" w:space="0"/>
                <w:bottom w:val="none" w:color="auto" w:sz="0" w:space="0"/>
                <w:right w:val="none" w:color="auto" w:sz="0" w:space="0"/>
                <w:between w:val="none" w:color="auto" w:sz="0" w:space="0"/>
              </w:pBdr>
              <w:spacing w:before="57" w:after="57" w:line="276" w:lineRule="auto"/>
              <w:ind w:right="170"/>
              <w:jc w:val="both"/>
              <w:rPr>
                <w:color w:val="000000"/>
                <w:sz w:val="23"/>
                <w:szCs w:val="23"/>
              </w:rPr>
            </w:pPr>
          </w:p>
          <w:p w14:paraId="1091A5C5">
            <w:pPr>
              <w:widowControl w:val="0"/>
              <w:pBdr>
                <w:top w:val="none" w:color="auto" w:sz="0" w:space="0"/>
                <w:left w:val="none" w:color="auto" w:sz="0" w:space="0"/>
                <w:bottom w:val="none" w:color="auto" w:sz="0" w:space="0"/>
                <w:right w:val="none" w:color="auto" w:sz="0" w:space="0"/>
                <w:between w:val="none" w:color="auto" w:sz="0" w:space="0"/>
              </w:pBdr>
              <w:spacing w:before="57" w:after="57" w:line="276" w:lineRule="auto"/>
              <w:ind w:right="170"/>
              <w:jc w:val="both"/>
              <w:rPr>
                <w:color w:val="000000"/>
                <w:sz w:val="23"/>
                <w:szCs w:val="23"/>
              </w:rPr>
            </w:pPr>
            <w:r>
              <w:rPr>
                <w:color w:val="000000"/>
                <w:sz w:val="23"/>
                <w:szCs w:val="23"/>
                <w:highlight w:val="white"/>
              </w:rPr>
              <w:t xml:space="preserve">Foi escolhida a forma de separação por Lote pela necessidade de preservar a integridade qualitativa do objeto, visando ainda a padronização dos serviços oferecidos, bem como a celeridade na prestação dos mesmos, vez que vários prestadores de serviço para uma única Unidade Requisitante poderá provocar descontinuação da </w:t>
            </w:r>
            <w:r>
              <w:rPr>
                <w:color w:val="000000"/>
                <w:sz w:val="23"/>
                <w:szCs w:val="23"/>
              </w:rPr>
              <w:t xml:space="preserve">uniformização, assim como problemas no gerenciamento e, até mesmo, aumento dos custos, pois a contratação tem o intuito de constituir um todo unitário e Economia de escala devido à economia logística e a diminuição de transtornos que poderiam surgir com a existência de duas ou mais empresas para a execução e supervisão do serviço a ser prestado para uma única Unidade Requisitante, que é o caso do TFD. </w:t>
            </w:r>
          </w:p>
          <w:p w14:paraId="3E912313">
            <w:pPr>
              <w:widowControl w:val="0"/>
              <w:pBdr>
                <w:top w:val="none" w:color="auto" w:sz="0" w:space="0"/>
                <w:left w:val="none" w:color="auto" w:sz="0" w:space="0"/>
                <w:bottom w:val="none" w:color="auto" w:sz="0" w:space="0"/>
                <w:right w:val="none" w:color="auto" w:sz="0" w:space="0"/>
                <w:between w:val="none" w:color="auto" w:sz="0" w:space="0"/>
              </w:pBdr>
              <w:spacing w:before="57" w:after="57" w:line="276" w:lineRule="auto"/>
              <w:ind w:right="170"/>
              <w:jc w:val="both"/>
              <w:rPr>
                <w:color w:val="000000"/>
                <w:sz w:val="23"/>
                <w:szCs w:val="23"/>
                <w:highlight w:val="yellow"/>
              </w:rPr>
            </w:pPr>
          </w:p>
          <w:p w14:paraId="60FB65B2">
            <w:pPr>
              <w:widowControl w:val="0"/>
              <w:pBdr>
                <w:top w:val="none" w:color="auto" w:sz="0" w:space="0"/>
                <w:left w:val="none" w:color="auto" w:sz="0" w:space="0"/>
                <w:bottom w:val="none" w:color="auto" w:sz="0" w:space="0"/>
                <w:right w:val="none" w:color="auto" w:sz="0" w:space="0"/>
                <w:between w:val="none" w:color="auto" w:sz="0" w:space="0"/>
              </w:pBdr>
              <w:spacing w:before="57" w:after="57" w:line="276" w:lineRule="auto"/>
              <w:ind w:right="170"/>
              <w:jc w:val="both"/>
              <w:rPr>
                <w:color w:val="000000"/>
                <w:sz w:val="23"/>
                <w:szCs w:val="23"/>
              </w:rPr>
            </w:pPr>
            <w:r>
              <w:rPr>
                <w:color w:val="000000"/>
                <w:sz w:val="23"/>
                <w:szCs w:val="23"/>
              </w:rPr>
              <w:t>Justifica-se a realização da licitação por grupo, posto que, se fosse por itens, possibilitaria a contratação de diversos fornecedores distintos para prestação do serviço para uma única Unidade Requisitante que solicitou mais de um tipo de veículo, fato que representaria prejuízo ao conjunto ou ao complexo do objeto, uma vez que poderá acarretar transtornos para uma eficiente execução contratual.</w:t>
            </w:r>
          </w:p>
        </w:tc>
      </w:tr>
    </w:tbl>
    <w:p w14:paraId="703382F5">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28"/>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75F3A709">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0333D15E">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DEMONSTRAÇÃO DO RESULTADO PRETENDIDO:</w:t>
            </w:r>
          </w:p>
        </w:tc>
      </w:tr>
      <w:tr w14:paraId="0EC8DB66">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auto"/>
          </w:tcPr>
          <w:p w14:paraId="1F5C04B4">
            <w:pPr>
              <w:widowControl w:val="0"/>
              <w:spacing w:after="0" w:line="276" w:lineRule="auto"/>
              <w:jc w:val="both"/>
              <w:rPr>
                <w:color w:val="000000"/>
                <w:sz w:val="23"/>
                <w:szCs w:val="23"/>
              </w:rPr>
            </w:pPr>
          </w:p>
          <w:p w14:paraId="282D1E52">
            <w:pPr>
              <w:widowControl w:val="0"/>
              <w:spacing w:after="0" w:line="276" w:lineRule="auto"/>
              <w:jc w:val="both"/>
            </w:pPr>
            <w:r>
              <w:rPr>
                <w:color w:val="000000"/>
                <w:sz w:val="23"/>
                <w:szCs w:val="23"/>
              </w:rPr>
              <w:t>A contratação de empresa especializada na prestação de serviço de transporte de passageiros (pacientes e acompanhantes), considerando como itinerário o trajeto que vai do Município de embarque qual seja, Nova Friburgo ao Município/Local de desembarque pré-determinado pela Central de Regulação/TFD (Tratamento Fora de Domicilio)</w:t>
            </w:r>
            <w:r>
              <w:rPr>
                <w:sz w:val="23"/>
                <w:szCs w:val="23"/>
              </w:rPr>
              <w:t xml:space="preserve"> e</w:t>
            </w:r>
            <w:r>
              <w:rPr>
                <w:color w:val="000000"/>
                <w:sz w:val="23"/>
                <w:szCs w:val="23"/>
              </w:rPr>
              <w:t xml:space="preserve"> Coordenação de Saúde Auditiva</w:t>
            </w:r>
            <w:r>
              <w:rPr>
                <w:sz w:val="23"/>
                <w:szCs w:val="23"/>
              </w:rPr>
              <w:t>.</w:t>
            </w:r>
          </w:p>
          <w:p w14:paraId="65F0FAB7">
            <w:pPr>
              <w:widowControl w:val="0"/>
              <w:spacing w:after="0" w:line="276" w:lineRule="auto"/>
              <w:jc w:val="both"/>
              <w:rPr>
                <w:sz w:val="23"/>
                <w:szCs w:val="23"/>
              </w:rPr>
            </w:pPr>
          </w:p>
          <w:p w14:paraId="68CF30E5">
            <w:pPr>
              <w:widowControl w:val="0"/>
              <w:spacing w:after="0" w:line="276" w:lineRule="auto"/>
              <w:jc w:val="both"/>
              <w:rPr>
                <w:sz w:val="23"/>
                <w:szCs w:val="23"/>
              </w:rPr>
            </w:pPr>
            <w:r>
              <w:rPr>
                <w:color w:val="000000"/>
                <w:sz w:val="23"/>
                <w:szCs w:val="23"/>
              </w:rPr>
              <w:t xml:space="preserve">A contratação </w:t>
            </w:r>
            <w:r>
              <w:rPr>
                <w:color w:val="00000A"/>
                <w:sz w:val="23"/>
                <w:szCs w:val="23"/>
                <w:highlight w:val="white"/>
              </w:rPr>
              <w:t>visa atender à necessidade pública de forma permanente e contínua, por mais de um exercício financeiro, assegurando o funcionamento das atividades nas Unidades de saúde, de modo que sua interrupção poderá comprometer a prestação de um serviço público ou o cumprimento de sua missão institucional, sendo a vigência plurianual mais vantajosa. Trata-se de serviço essencial e contínuo.</w:t>
            </w:r>
          </w:p>
          <w:p w14:paraId="6F93A90A">
            <w:pPr>
              <w:widowControl w:val="0"/>
              <w:spacing w:after="0" w:line="276" w:lineRule="auto"/>
              <w:jc w:val="both"/>
              <w:rPr>
                <w:color w:val="00000A"/>
                <w:sz w:val="23"/>
                <w:szCs w:val="23"/>
                <w:highlight w:val="white"/>
              </w:rPr>
            </w:pPr>
          </w:p>
        </w:tc>
      </w:tr>
    </w:tbl>
    <w:p w14:paraId="4A9587C9">
      <w:pPr>
        <w:pBdr>
          <w:top w:val="none" w:color="auto" w:sz="0" w:space="0"/>
          <w:left w:val="none" w:color="auto" w:sz="0" w:space="0"/>
          <w:bottom w:val="none" w:color="auto" w:sz="0" w:space="0"/>
          <w:right w:val="none" w:color="auto" w:sz="0" w:space="0"/>
          <w:between w:val="none" w:color="auto" w:sz="0" w:space="0"/>
        </w:pBdr>
        <w:spacing w:after="0" w:line="360" w:lineRule="auto"/>
        <w:jc w:val="both"/>
        <w:rPr>
          <w:color w:val="000000"/>
          <w:sz w:val="23"/>
          <w:szCs w:val="23"/>
        </w:rPr>
      </w:pPr>
    </w:p>
    <w:tbl>
      <w:tblPr>
        <w:tblStyle w:val="29"/>
        <w:tblW w:w="10155"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155"/>
      </w:tblGrid>
      <w:tr w14:paraId="05F9D420">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6586F88B">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PROVIDÊNCIAS PRÉVIAS AO CONTRATO:</w:t>
            </w:r>
          </w:p>
        </w:tc>
      </w:tr>
      <w:tr w14:paraId="76BCF096">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155" w:type="dxa"/>
            <w:tcBorders>
              <w:top w:val="single" w:color="00000A" w:sz="4" w:space="0"/>
              <w:left w:val="single" w:color="00000A" w:sz="4" w:space="0"/>
              <w:bottom w:val="single" w:color="00000A" w:sz="4" w:space="0"/>
              <w:right w:val="single" w:color="00000A" w:sz="4" w:space="0"/>
            </w:tcBorders>
            <w:shd w:val="clear" w:color="auto" w:fill="auto"/>
          </w:tcPr>
          <w:p w14:paraId="5C4B8B1E">
            <w:pPr>
              <w:widowControl w:val="0"/>
              <w:spacing w:after="0" w:line="276" w:lineRule="auto"/>
              <w:jc w:val="both"/>
              <w:rPr>
                <w:color w:val="000000"/>
                <w:sz w:val="23"/>
                <w:szCs w:val="23"/>
              </w:rPr>
            </w:pPr>
          </w:p>
          <w:p w14:paraId="5924E047">
            <w:pPr>
              <w:widowControl w:val="0"/>
              <w:spacing w:after="0" w:line="276" w:lineRule="auto"/>
              <w:ind w:right="113"/>
              <w:jc w:val="both"/>
              <w:rPr>
                <w:color w:val="000000"/>
                <w:sz w:val="23"/>
                <w:szCs w:val="23"/>
              </w:rPr>
            </w:pPr>
            <w:r>
              <w:rPr>
                <w:color w:val="000000"/>
                <w:sz w:val="23"/>
                <w:szCs w:val="23"/>
              </w:rPr>
              <w:t xml:space="preserve">Não há necessidade de previdências prévias ao Contrato, uma vez que a empresa a ser Contratada será responsável por todas as ações com vistas à correta execução contratual, devendo disponibilizar todos os veículos e mão de obra </w:t>
            </w:r>
            <w:r>
              <w:rPr>
                <w:sz w:val="23"/>
                <w:szCs w:val="23"/>
              </w:rPr>
              <w:t>necessários</w:t>
            </w:r>
            <w:r>
              <w:rPr>
                <w:color w:val="000000"/>
                <w:sz w:val="23"/>
                <w:szCs w:val="23"/>
              </w:rPr>
              <w:t xml:space="preserve"> à plena execução dos serviços, sem ônus a Contratante.</w:t>
            </w:r>
          </w:p>
        </w:tc>
      </w:tr>
    </w:tbl>
    <w:p w14:paraId="4966A0CE">
      <w:pPr>
        <w:ind w:left="-510"/>
        <w:rPr>
          <w:sz w:val="23"/>
          <w:szCs w:val="23"/>
        </w:rPr>
      </w:pPr>
    </w:p>
    <w:tbl>
      <w:tblPr>
        <w:tblStyle w:val="30"/>
        <w:tblW w:w="10200" w:type="dxa"/>
        <w:tblInd w:w="-6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00"/>
      </w:tblGrid>
      <w:tr w14:paraId="3BF84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0200" w:type="dxa"/>
            <w:tcBorders>
              <w:top w:val="single" w:color="000000" w:sz="4" w:space="0"/>
              <w:left w:val="single" w:color="000000" w:sz="4" w:space="0"/>
              <w:bottom w:val="single" w:color="000000" w:sz="4" w:space="0"/>
              <w:right w:val="single" w:color="000000" w:sz="4" w:space="0"/>
            </w:tcBorders>
            <w:shd w:val="clear" w:color="auto" w:fill="1F3863"/>
          </w:tcPr>
          <w:p w14:paraId="0133D17C">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CONTRATAÇÕES CORRELATAS/ INTERDEPENDENTES</w:t>
            </w:r>
          </w:p>
        </w:tc>
      </w:tr>
      <w:tr w14:paraId="53709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atLeast"/>
        </w:trPr>
        <w:tc>
          <w:tcPr>
            <w:tcW w:w="10200" w:type="dxa"/>
            <w:tcBorders>
              <w:top w:val="single" w:color="000000" w:sz="4" w:space="0"/>
              <w:left w:val="single" w:color="000000" w:sz="4" w:space="0"/>
              <w:bottom w:val="single" w:color="000000" w:sz="4" w:space="0"/>
              <w:right w:val="single" w:color="000000" w:sz="4" w:space="0"/>
            </w:tcBorders>
            <w:shd w:val="clear" w:color="auto" w:fill="auto"/>
          </w:tcPr>
          <w:p w14:paraId="3E2CB034">
            <w:pPr>
              <w:widowControl w:val="0"/>
              <w:spacing w:after="0" w:line="276" w:lineRule="auto"/>
              <w:jc w:val="both"/>
              <w:rPr>
                <w:sz w:val="23"/>
                <w:szCs w:val="23"/>
              </w:rPr>
            </w:pPr>
            <w:r>
              <w:rPr>
                <w:sz w:val="23"/>
                <w:szCs w:val="23"/>
              </w:rPr>
              <w:t>Não existem contratações correlatas ou interdependentes que possam comprometer o andamento da atual aquisição.</w:t>
            </w:r>
          </w:p>
        </w:tc>
      </w:tr>
    </w:tbl>
    <w:p w14:paraId="215CD7BA">
      <w:pPr>
        <w:spacing w:after="0" w:line="360" w:lineRule="auto"/>
        <w:rPr>
          <w:sz w:val="23"/>
          <w:szCs w:val="23"/>
        </w:rPr>
      </w:pPr>
    </w:p>
    <w:tbl>
      <w:tblPr>
        <w:tblStyle w:val="31"/>
        <w:tblW w:w="10200"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200"/>
      </w:tblGrid>
      <w:tr w14:paraId="28A4A156">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200"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01CCCB6C">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b/>
                <w:color w:val="000000"/>
                <w:sz w:val="23"/>
                <w:szCs w:val="23"/>
              </w:rPr>
            </w:pPr>
            <w:r>
              <w:rPr>
                <w:b/>
                <w:color w:val="000000"/>
                <w:sz w:val="23"/>
                <w:szCs w:val="23"/>
              </w:rPr>
              <w:t>IMPACTOS AMBIENTAIS:</w:t>
            </w:r>
          </w:p>
        </w:tc>
      </w:tr>
      <w:tr w14:paraId="485DFA77">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200" w:type="dxa"/>
            <w:tcBorders>
              <w:top w:val="single" w:color="00000A" w:sz="4" w:space="0"/>
              <w:left w:val="single" w:color="00000A" w:sz="4" w:space="0"/>
              <w:bottom w:val="single" w:color="00000A" w:sz="4" w:space="0"/>
              <w:right w:val="single" w:color="00000A" w:sz="4" w:space="0"/>
            </w:tcBorders>
            <w:shd w:val="clear" w:color="auto" w:fill="auto"/>
          </w:tcPr>
          <w:p w14:paraId="4ECE3570">
            <w:pPr>
              <w:widowControl w:val="0"/>
              <w:spacing w:after="0" w:line="276" w:lineRule="auto"/>
              <w:jc w:val="both"/>
              <w:rPr>
                <w:color w:val="000000"/>
                <w:sz w:val="23"/>
                <w:szCs w:val="23"/>
              </w:rPr>
            </w:pPr>
          </w:p>
          <w:p w14:paraId="57E4E852">
            <w:pPr>
              <w:widowControl w:val="0"/>
              <w:spacing w:after="0" w:line="360" w:lineRule="auto"/>
              <w:ind w:right="189"/>
              <w:jc w:val="both"/>
              <w:rPr>
                <w:color w:val="000000"/>
                <w:sz w:val="23"/>
                <w:szCs w:val="23"/>
              </w:rPr>
            </w:pPr>
            <w:r>
              <w:rPr>
                <w:color w:val="000000"/>
                <w:sz w:val="23"/>
                <w:szCs w:val="23"/>
              </w:rPr>
              <w:t>A empresa contratada deve adotar as seguintes práticas de sustentabilidade na execução dos serviços, quando couber:</w:t>
            </w:r>
          </w:p>
          <w:p w14:paraId="03B17B71">
            <w:pPr>
              <w:widowControl w:val="0"/>
              <w:tabs>
                <w:tab w:val="left" w:pos="540"/>
              </w:tabs>
              <w:spacing w:line="360" w:lineRule="auto"/>
              <w:ind w:left="360"/>
              <w:jc w:val="both"/>
              <w:rPr>
                <w:b/>
                <w:sz w:val="23"/>
                <w:szCs w:val="23"/>
              </w:rPr>
            </w:pPr>
          </w:p>
          <w:p w14:paraId="4AD955DF">
            <w:pPr>
              <w:widowControl w:val="0"/>
              <w:tabs>
                <w:tab w:val="left" w:pos="540"/>
              </w:tabs>
              <w:spacing w:line="276" w:lineRule="auto"/>
              <w:ind w:left="360"/>
              <w:jc w:val="both"/>
              <w:rPr>
                <w:sz w:val="23"/>
                <w:szCs w:val="23"/>
              </w:rPr>
            </w:pPr>
            <w:r>
              <w:rPr>
                <w:sz w:val="23"/>
                <w:szCs w:val="23"/>
              </w:rPr>
              <w:t xml:space="preserve"> Além dos critérios de sustentabilidade eventualmente inseridos na descrição do objeto, devem ser atendidos os seguintes requisitos, que se baseiam no Guia Nacional de Contratações Sustentáveis:</w:t>
            </w:r>
          </w:p>
          <w:p w14:paraId="0EC03238">
            <w:pPr>
              <w:widowControl w:val="0"/>
              <w:shd w:val="clear" w:color="auto" w:fill="FFFFFF"/>
              <w:spacing w:line="276" w:lineRule="auto"/>
              <w:ind w:left="794" w:right="340"/>
              <w:jc w:val="both"/>
              <w:rPr>
                <w:sz w:val="23"/>
                <w:szCs w:val="23"/>
              </w:rPr>
            </w:pPr>
            <w:r>
              <w:rPr>
                <w:b/>
                <w:sz w:val="23"/>
                <w:szCs w:val="23"/>
                <w:highlight w:val="white"/>
              </w:rPr>
              <w:t xml:space="preserve"> </w:t>
            </w:r>
            <w:r>
              <w:rPr>
                <w:sz w:val="23"/>
                <w:szCs w:val="23"/>
                <w:highlight w:val="white"/>
              </w:rPr>
              <w:t>Quanto ao gerenciamento dos resíduos de serviços de saúde, a contratada deverá obedecer às disposições do Plano de Gerenciamento de Resíduos de Serviços de Saúde – PGRSS elaborado pelo órgão, além de obedecer às diretrizes constantes da Lei nº 12.305, de 2010 – Política Nacional de Resíduos Sólidos, Decreto nº 10.936, CONSULTORIA-GERAL DA UNIÃO Guia Nacional de Contratações Sustentáveis 268 de 12/01/2022, Resolução CONAMA n° 358, de 29/04/2005 e RDC 222, de 28/03/2018 – ANVISA.</w:t>
            </w:r>
          </w:p>
          <w:p w14:paraId="7E533886">
            <w:pPr>
              <w:widowControl w:val="0"/>
              <w:shd w:val="clear" w:color="auto" w:fill="FFFFFF"/>
              <w:spacing w:line="276" w:lineRule="auto"/>
              <w:jc w:val="both"/>
              <w:rPr>
                <w:color w:val="000000"/>
                <w:sz w:val="23"/>
                <w:szCs w:val="23"/>
                <w:highlight w:val="white"/>
              </w:rPr>
            </w:pPr>
          </w:p>
          <w:p w14:paraId="59AC76FF">
            <w:pPr>
              <w:widowControl w:val="0"/>
              <w:shd w:val="clear" w:color="auto" w:fill="FFFFFF"/>
              <w:spacing w:line="276" w:lineRule="auto"/>
              <w:ind w:left="794" w:right="227"/>
              <w:jc w:val="both"/>
              <w:rPr>
                <w:color w:val="000000"/>
                <w:sz w:val="23"/>
                <w:szCs w:val="23"/>
                <w:highlight w:val="white"/>
              </w:rPr>
            </w:pPr>
            <w:r>
              <w:rPr>
                <w:color w:val="000000"/>
                <w:sz w:val="23"/>
                <w:szCs w:val="23"/>
                <w:highlight w:val="white"/>
              </w:rPr>
              <w:t>Todos os veículos devem atender aos limites máximos de emissão de poluentes que estejam em conformidade com Programa de Controle da poluição do Ar por Veículos Automotores – PROCONVE P7, conforme Resolução CONAMA nº 18, de 06/05/1986 e nº 315, de 29/10/2002, e legislação correlata, preferencialmente dotados de tecnologia que faculte a diminuição da emissão de gases e/ou substâncias poluentes.</w:t>
            </w:r>
          </w:p>
        </w:tc>
      </w:tr>
    </w:tbl>
    <w:p w14:paraId="585E7B4D">
      <w:pPr>
        <w:spacing w:after="0" w:line="360" w:lineRule="auto"/>
        <w:rPr>
          <w:sz w:val="23"/>
          <w:szCs w:val="23"/>
        </w:rPr>
      </w:pPr>
    </w:p>
    <w:tbl>
      <w:tblPr>
        <w:tblStyle w:val="32"/>
        <w:tblW w:w="10260" w:type="dxa"/>
        <w:tblInd w:w="-60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260"/>
      </w:tblGrid>
      <w:tr w14:paraId="7892546C">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PrEx>
        <w:tc>
          <w:tcPr>
            <w:tcW w:w="10260"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3BAD0B2B">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360" w:lineRule="auto"/>
              <w:ind w:left="0" w:right="73" w:firstLine="0"/>
              <w:jc w:val="both"/>
              <w:rPr>
                <w:color w:val="000000"/>
                <w:sz w:val="23"/>
                <w:szCs w:val="23"/>
              </w:rPr>
            </w:pPr>
            <w:r>
              <w:rPr>
                <w:color w:val="000000"/>
                <w:sz w:val="23"/>
                <w:szCs w:val="23"/>
              </w:rPr>
              <w:t>POSICIONAMENTO CONCLUSIVO:</w:t>
            </w:r>
          </w:p>
        </w:tc>
      </w:tr>
      <w:tr w14:paraId="1B29BAD9">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260" w:type="dxa"/>
            <w:tcBorders>
              <w:top w:val="single" w:color="00000A" w:sz="4" w:space="0"/>
              <w:left w:val="single" w:color="00000A" w:sz="4" w:space="0"/>
              <w:bottom w:val="single" w:color="00000A" w:sz="4" w:space="0"/>
              <w:right w:val="single" w:color="00000A" w:sz="4" w:space="0"/>
            </w:tcBorders>
            <w:shd w:val="clear" w:color="auto" w:fill="auto"/>
          </w:tcPr>
          <w:p w14:paraId="20BDB157">
            <w:pPr>
              <w:widowControl w:val="0"/>
              <w:spacing w:after="0" w:line="276" w:lineRule="auto"/>
              <w:jc w:val="both"/>
              <w:rPr>
                <w:color w:val="000000"/>
                <w:sz w:val="23"/>
                <w:szCs w:val="23"/>
              </w:rPr>
            </w:pPr>
          </w:p>
          <w:p w14:paraId="2849250F">
            <w:pPr>
              <w:widowControl w:val="0"/>
              <w:spacing w:after="0" w:line="276" w:lineRule="auto"/>
              <w:jc w:val="both"/>
              <w:rPr>
                <w:sz w:val="23"/>
                <w:szCs w:val="23"/>
              </w:rPr>
            </w:pPr>
            <w:r>
              <w:rPr>
                <w:color w:val="000000"/>
                <w:sz w:val="23"/>
                <w:szCs w:val="23"/>
              </w:rPr>
              <w:t xml:space="preserve">Considerando que a presente contratação </w:t>
            </w:r>
            <w:r>
              <w:rPr>
                <w:color w:val="00000A"/>
                <w:sz w:val="23"/>
                <w:szCs w:val="23"/>
                <w:highlight w:val="white"/>
              </w:rPr>
              <w:t xml:space="preserve">visa atender à necessidade pública de forma permanente e contínua, por mais de um exercício financeiro, assegurando o funcionamento das atividades nas Unidades de saúde, de modo que sua interrupção poderá comprometer a prestação de um serviço público ou o cumprimento de sua missão institucional, sendo a vigência plurianual mais vantajosa. </w:t>
            </w:r>
          </w:p>
          <w:p w14:paraId="191F6ABF">
            <w:pPr>
              <w:widowControl w:val="0"/>
              <w:spacing w:after="0" w:line="276" w:lineRule="auto"/>
              <w:jc w:val="both"/>
              <w:rPr>
                <w:sz w:val="23"/>
                <w:szCs w:val="23"/>
              </w:rPr>
            </w:pPr>
          </w:p>
          <w:p w14:paraId="654EE100">
            <w:pPr>
              <w:widowControl w:val="0"/>
              <w:spacing w:after="0" w:line="276" w:lineRule="auto"/>
              <w:jc w:val="both"/>
              <w:rPr>
                <w:sz w:val="23"/>
                <w:szCs w:val="23"/>
              </w:rPr>
            </w:pPr>
            <w:r>
              <w:rPr>
                <w:color w:val="000000"/>
                <w:sz w:val="23"/>
                <w:szCs w:val="23"/>
              </w:rPr>
              <w:t>Considerando que os serviços a serem contratados também possui o objetivo de melhor atendimento aos usuários da Rede Municipal de Saúde de Nova Friburgo tendo como principal objetivo transportar com eficiência e segurança os pacientes do SUS. Sendo certo que, o Tratamento Fora de Domicílio – TFD –, instituído pela Portaria n.º 55 da Secretaria de Assistência à Saúde – Ministério da Saúde –, é um instrumento legal que visa garantir, o deslocamento de usuários do SUS para outro município ou estado da federação, quando o atendimento de saúde a ser prestado pelo município de origem não dispuser do tratamento necessário ou esgotados todos os meios de tratamento.</w:t>
            </w:r>
          </w:p>
          <w:p w14:paraId="1E1A9F02">
            <w:pPr>
              <w:widowControl w:val="0"/>
              <w:spacing w:after="0" w:line="276" w:lineRule="auto"/>
              <w:jc w:val="both"/>
              <w:rPr>
                <w:sz w:val="23"/>
                <w:szCs w:val="23"/>
              </w:rPr>
            </w:pPr>
          </w:p>
          <w:p w14:paraId="7E52D9AD">
            <w:pPr>
              <w:widowControl w:val="0"/>
              <w:spacing w:line="276" w:lineRule="auto"/>
              <w:jc w:val="both"/>
              <w:rPr>
                <w:sz w:val="23"/>
                <w:szCs w:val="23"/>
              </w:rPr>
            </w:pPr>
            <w:r>
              <w:rPr>
                <w:sz w:val="23"/>
                <w:szCs w:val="23"/>
              </w:rPr>
              <w:t>Considerando o fato da Secretaria Municipal de Saúde não possuir profissionais (motoristas) suficientes, bem como não possuir na sua frota, veículos que atendam a demanda pretendida.</w:t>
            </w:r>
          </w:p>
          <w:p w14:paraId="4B75CCC4">
            <w:pPr>
              <w:widowControl w:val="0"/>
              <w:spacing w:after="0" w:line="276" w:lineRule="auto"/>
              <w:jc w:val="both"/>
              <w:rPr>
                <w:color w:val="000000"/>
                <w:sz w:val="23"/>
                <w:szCs w:val="23"/>
              </w:rPr>
            </w:pPr>
            <w:r>
              <w:rPr>
                <w:color w:val="000000"/>
                <w:sz w:val="23"/>
                <w:szCs w:val="23"/>
              </w:rPr>
              <w:t xml:space="preserve">Conclui-se que a contratação é viável e imprescindível para o bom funcionamento das Unidades de Saúde. </w:t>
            </w:r>
          </w:p>
          <w:p w14:paraId="013D4C0E">
            <w:pPr>
              <w:widowControl w:val="0"/>
              <w:spacing w:after="0" w:line="276" w:lineRule="auto"/>
              <w:jc w:val="both"/>
              <w:rPr>
                <w:color w:val="000000"/>
                <w:sz w:val="23"/>
                <w:szCs w:val="23"/>
              </w:rPr>
            </w:pPr>
          </w:p>
          <w:p w14:paraId="279B6830">
            <w:pPr>
              <w:widowControl w:val="0"/>
              <w:spacing w:after="0" w:line="276" w:lineRule="auto"/>
              <w:ind w:right="113"/>
              <w:jc w:val="both"/>
              <w:rPr>
                <w:sz w:val="23"/>
                <w:szCs w:val="23"/>
              </w:rPr>
            </w:pPr>
            <w:r>
              <w:rPr>
                <w:color w:val="00000A"/>
                <w:sz w:val="23"/>
                <w:szCs w:val="23"/>
              </w:rPr>
              <w:t>Portanto, a contratação de empresa especializada para a prestação do serviço foi a melhor solução encontrada, caracterizando como a mais vantajosa e mais eficaz para a Administração, conforme todo o levantamento e estudos acima apresentados, visando</w:t>
            </w:r>
            <w:r>
              <w:rPr>
                <w:color w:val="000000"/>
                <w:sz w:val="23"/>
                <w:szCs w:val="23"/>
              </w:rPr>
              <w:t xml:space="preserve"> economicidade a ser obtida pela Administração através da contratação de cooperativas de transporte, no sentido de não haver despesas diretas com compra/manutenção de veículos e contratação de pessoal.</w:t>
            </w:r>
          </w:p>
          <w:p w14:paraId="0FF8CEA3">
            <w:pPr>
              <w:widowControl w:val="0"/>
              <w:spacing w:after="0" w:line="276" w:lineRule="auto"/>
              <w:ind w:left="420" w:right="189"/>
              <w:jc w:val="both"/>
              <w:rPr>
                <w:color w:val="17375E"/>
                <w:sz w:val="23"/>
                <w:szCs w:val="23"/>
              </w:rPr>
            </w:pPr>
          </w:p>
          <w:p w14:paraId="571BEFFC">
            <w:pPr>
              <w:widowControl w:val="0"/>
              <w:pBdr>
                <w:top w:val="none" w:color="auto" w:sz="0" w:space="0"/>
                <w:left w:val="none" w:color="auto" w:sz="0" w:space="0"/>
                <w:bottom w:val="none" w:color="auto" w:sz="0" w:space="0"/>
                <w:right w:val="none" w:color="auto" w:sz="0" w:space="0"/>
                <w:between w:val="none" w:color="auto" w:sz="0" w:space="0"/>
              </w:pBdr>
              <w:spacing w:before="57" w:after="57" w:line="276" w:lineRule="auto"/>
              <w:ind w:right="283"/>
              <w:jc w:val="both"/>
              <w:rPr>
                <w:color w:val="00000A"/>
                <w:sz w:val="23"/>
                <w:szCs w:val="23"/>
              </w:rPr>
            </w:pPr>
            <w:r>
              <w:rPr>
                <w:color w:val="000000"/>
                <w:sz w:val="23"/>
                <w:szCs w:val="23"/>
              </w:rPr>
              <w:t>A presente contratação dar-se-á pela modalidade de Pregão Eletrônico, previsto na Lei  14.133/21, e será do tipo Menor Preço por Lote.</w:t>
            </w:r>
          </w:p>
          <w:p w14:paraId="555AE5AB">
            <w:pPr>
              <w:widowControl w:val="0"/>
              <w:spacing w:line="276" w:lineRule="auto"/>
              <w:ind w:right="113"/>
              <w:jc w:val="both"/>
              <w:rPr>
                <w:sz w:val="23"/>
                <w:szCs w:val="23"/>
              </w:rPr>
            </w:pPr>
            <w:r>
              <w:rPr>
                <w:sz w:val="23"/>
                <w:szCs w:val="23"/>
              </w:rPr>
              <w:t>Ante o exposto, conclui-se que o presente Estudo Técnico está de acordo com as necessidades técnicas, operacionais e estratégicas do órgão, atende adequadamente às demandas de negócio formuladas, os benefícios pretendidos são adequados, os custos previstos são compatíveis e caracterizam a economicidade, os riscos envolvidos são administráveis e a área responsável priorizará o fornecimento de todos os elementos aqui relacionados necessários à consecução dos benefícios pretendidos, pelo que recomendamos o prosseguimento da contratação.</w:t>
            </w:r>
          </w:p>
        </w:tc>
      </w:tr>
    </w:tbl>
    <w:p w14:paraId="2AF1D5A0">
      <w:pPr>
        <w:spacing w:after="0" w:line="360" w:lineRule="auto"/>
        <w:rPr>
          <w:sz w:val="23"/>
          <w:szCs w:val="23"/>
        </w:rPr>
      </w:pPr>
    </w:p>
    <w:tbl>
      <w:tblPr>
        <w:tblStyle w:val="33"/>
        <w:tblW w:w="10380" w:type="dxa"/>
        <w:tblInd w:w="-734"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top w:w="0" w:type="dxa"/>
          <w:left w:w="108" w:type="dxa"/>
          <w:bottom w:w="0" w:type="dxa"/>
          <w:right w:w="108" w:type="dxa"/>
        </w:tblCellMar>
      </w:tblPr>
      <w:tblGrid>
        <w:gridCol w:w="10380"/>
      </w:tblGrid>
      <w:tr w14:paraId="17822D65">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380" w:type="dxa"/>
            <w:tcBorders>
              <w:top w:val="single" w:color="00000A" w:sz="4" w:space="0"/>
              <w:left w:val="single" w:color="00000A" w:sz="4" w:space="0"/>
              <w:bottom w:val="single" w:color="00000A" w:sz="4" w:space="0"/>
              <w:right w:val="single" w:color="00000A" w:sz="4" w:space="0"/>
            </w:tcBorders>
            <w:shd w:val="clear" w:color="auto" w:fill="1F3863"/>
            <w:vAlign w:val="center"/>
          </w:tcPr>
          <w:p w14:paraId="1A9D16D8">
            <w:pPr>
              <w:widowControl w:val="0"/>
              <w:numPr>
                <w:ilvl w:val="0"/>
                <w:numId w:val="1"/>
              </w:numPr>
              <w:pBdr>
                <w:top w:val="none" w:color="auto" w:sz="0" w:space="0"/>
                <w:left w:val="none" w:color="auto" w:sz="0" w:space="0"/>
                <w:bottom w:val="none" w:color="auto" w:sz="0" w:space="0"/>
                <w:right w:val="none" w:color="auto" w:sz="0" w:space="0"/>
                <w:between w:val="none" w:color="auto" w:sz="0" w:space="0"/>
              </w:pBdr>
              <w:spacing w:after="0" w:line="240" w:lineRule="auto"/>
              <w:ind w:left="0" w:right="73" w:firstLine="0"/>
              <w:jc w:val="both"/>
              <w:rPr>
                <w:b/>
                <w:color w:val="000000"/>
                <w:sz w:val="23"/>
                <w:szCs w:val="23"/>
              </w:rPr>
            </w:pPr>
            <w:r>
              <w:rPr>
                <w:b/>
                <w:color w:val="000000"/>
                <w:sz w:val="23"/>
                <w:szCs w:val="23"/>
              </w:rPr>
              <w:t>RESPONSABILIDADE DA EQUIPE DE PLANEJAMENTO PELA ELABORAÇÃO E CONTEÚDO DO DOCUMENTO:</w:t>
            </w:r>
          </w:p>
        </w:tc>
      </w:tr>
      <w:tr w14:paraId="6E280062">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10380" w:type="dxa"/>
            <w:tcBorders>
              <w:top w:val="single" w:color="00000A" w:sz="4" w:space="0"/>
              <w:left w:val="single" w:color="00000A" w:sz="4" w:space="0"/>
              <w:bottom w:val="single" w:color="00000A" w:sz="4" w:space="0"/>
              <w:right w:val="single" w:color="00000A" w:sz="4" w:space="0"/>
            </w:tcBorders>
            <w:shd w:val="clear" w:color="auto" w:fill="auto"/>
          </w:tcPr>
          <w:p w14:paraId="781435C2">
            <w:pPr>
              <w:widowControl w:val="0"/>
              <w:spacing w:after="0" w:line="276" w:lineRule="auto"/>
              <w:jc w:val="both"/>
              <w:rPr>
                <w:color w:val="000000"/>
                <w:sz w:val="23"/>
                <w:szCs w:val="23"/>
              </w:rPr>
            </w:pPr>
          </w:p>
          <w:p w14:paraId="3A5F4AEA">
            <w:pPr>
              <w:widowControl w:val="0"/>
              <w:spacing w:after="0" w:line="276" w:lineRule="auto"/>
              <w:jc w:val="both"/>
              <w:rPr>
                <w:sz w:val="23"/>
                <w:szCs w:val="23"/>
              </w:rPr>
            </w:pPr>
            <w:r>
              <w:rPr>
                <w:sz w:val="23"/>
                <w:szCs w:val="23"/>
              </w:rPr>
              <w:t>Certificamos que somos responsáveis pela elaboração do presente documento que compila os Estudos Preliminares da Secretaria participante e que o mesmo traz os conteúdos previstos na Instrução Normativa nº 05/2017, conforme diretrizes estabelecidas.</w:t>
            </w:r>
          </w:p>
          <w:tbl>
            <w:tblPr>
              <w:tblStyle w:val="34"/>
              <w:tblW w:w="9810" w:type="dxa"/>
              <w:tblInd w:w="2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5" w:type="dxa"/>
                <w:left w:w="108" w:type="dxa"/>
                <w:bottom w:w="55" w:type="dxa"/>
                <w:right w:w="108" w:type="dxa"/>
              </w:tblCellMar>
            </w:tblPr>
            <w:tblGrid>
              <w:gridCol w:w="3015"/>
              <w:gridCol w:w="3447"/>
              <w:gridCol w:w="3348"/>
            </w:tblGrid>
            <w:tr w14:paraId="7A1E1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454"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CCCCCC"/>
                  <w:vAlign w:val="center"/>
                </w:tcPr>
                <w:p w14:paraId="74C9BB29">
                  <w:pPr>
                    <w:widowControl w:val="0"/>
                    <w:spacing w:after="0" w:line="240" w:lineRule="auto"/>
                    <w:jc w:val="center"/>
                  </w:pPr>
                  <w:r>
                    <w:rPr>
                      <w:b/>
                      <w:sz w:val="23"/>
                      <w:szCs w:val="23"/>
                    </w:rPr>
                    <w:t>Gestor:</w:t>
                  </w:r>
                </w:p>
              </w:tc>
            </w:tr>
            <w:tr w14:paraId="3EAE9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281"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7FFA34">
                  <w:pPr>
                    <w:widowControl w:val="0"/>
                    <w:spacing w:after="0" w:line="240" w:lineRule="auto"/>
                    <w:jc w:val="center"/>
                    <w:rPr>
                      <w:sz w:val="23"/>
                      <w:szCs w:val="23"/>
                    </w:rPr>
                  </w:pPr>
                </w:p>
              </w:tc>
            </w:tr>
            <w:tr w14:paraId="39B83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510"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690380">
                  <w:pPr>
                    <w:widowControl w:val="0"/>
                    <w:spacing w:after="0" w:line="240" w:lineRule="auto"/>
                    <w:jc w:val="center"/>
                  </w:pPr>
                  <w:r>
                    <w:rPr>
                      <w:sz w:val="23"/>
                      <w:szCs w:val="23"/>
                    </w:rPr>
                    <w:t>___________________________</w:t>
                  </w:r>
                </w:p>
              </w:tc>
            </w:tr>
            <w:tr w14:paraId="4A7B3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29"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689DD0">
                  <w:pPr>
                    <w:widowControl w:val="0"/>
                    <w:spacing w:after="0" w:line="276" w:lineRule="auto"/>
                    <w:jc w:val="center"/>
                  </w:pPr>
                  <w:r>
                    <w:rPr>
                      <w:b/>
                      <w:sz w:val="23"/>
                      <w:szCs w:val="23"/>
                    </w:rPr>
                    <w:t>Higor de Barros Pinto</w:t>
                  </w:r>
                </w:p>
              </w:tc>
            </w:tr>
            <w:tr w14:paraId="12550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45"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C97331">
                  <w:pPr>
                    <w:widowControl w:val="0"/>
                    <w:spacing w:after="0" w:line="276" w:lineRule="auto"/>
                    <w:jc w:val="center"/>
                  </w:pPr>
                  <w:r>
                    <w:rPr>
                      <w:sz w:val="23"/>
                      <w:szCs w:val="23"/>
                    </w:rPr>
                    <w:t>Gestão de Processos, Contratos e Convênios – SMS</w:t>
                  </w:r>
                </w:p>
              </w:tc>
            </w:tr>
            <w:tr w14:paraId="31D5E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45"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3A7636">
                  <w:pPr>
                    <w:widowControl w:val="0"/>
                    <w:spacing w:after="0" w:line="276" w:lineRule="auto"/>
                    <w:jc w:val="center"/>
                  </w:pPr>
                  <w:r>
                    <w:rPr>
                      <w:sz w:val="23"/>
                      <w:szCs w:val="23"/>
                    </w:rPr>
                    <w:t>Matr.:  063.344</w:t>
                  </w:r>
                </w:p>
              </w:tc>
            </w:tr>
            <w:tr w14:paraId="6D34D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454"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CCCCCC"/>
                  <w:vAlign w:val="center"/>
                </w:tcPr>
                <w:p w14:paraId="7721F805">
                  <w:pPr>
                    <w:widowControl w:val="0"/>
                    <w:spacing w:after="0" w:line="240" w:lineRule="auto"/>
                    <w:jc w:val="center"/>
                  </w:pPr>
                  <w:r>
                    <w:rPr>
                      <w:b/>
                      <w:sz w:val="23"/>
                      <w:szCs w:val="23"/>
                    </w:rPr>
                    <w:t>Apoio Técnico:</w:t>
                  </w:r>
                </w:p>
              </w:tc>
            </w:tr>
            <w:tr w14:paraId="4EA34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40" w:hRule="atLeast"/>
              </w:trPr>
              <w:tc>
                <w:tcPr>
                  <w:tcW w:w="3015"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1E61743A">
                  <w:pPr>
                    <w:widowControl w:val="0"/>
                    <w:spacing w:after="0" w:line="240" w:lineRule="auto"/>
                    <w:jc w:val="center"/>
                    <w:rPr>
                      <w:sz w:val="23"/>
                      <w:szCs w:val="23"/>
                    </w:rPr>
                  </w:pPr>
                </w:p>
              </w:tc>
              <w:tc>
                <w:tcPr>
                  <w:tcW w:w="3447" w:type="dxa"/>
                  <w:tcBorders>
                    <w:top w:val="single" w:color="000000" w:sz="4" w:space="0"/>
                    <w:left w:val="single" w:color="000000" w:sz="4" w:space="0"/>
                    <w:bottom w:val="single" w:color="000000" w:sz="4" w:space="0"/>
                  </w:tcBorders>
                  <w:shd w:val="clear" w:color="auto" w:fill="auto"/>
                  <w:tcMar>
                    <w:left w:w="50" w:type="dxa"/>
                    <w:right w:w="55" w:type="dxa"/>
                  </w:tcMar>
                  <w:vAlign w:val="center"/>
                </w:tcPr>
                <w:p w14:paraId="1BB484F4">
                  <w:pPr>
                    <w:widowControl w:val="0"/>
                    <w:spacing w:after="0" w:line="240" w:lineRule="auto"/>
                    <w:jc w:val="center"/>
                    <w:rPr>
                      <w:sz w:val="23"/>
                      <w:szCs w:val="23"/>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775D3ABC">
                  <w:pPr>
                    <w:widowControl w:val="0"/>
                    <w:spacing w:after="0" w:line="240" w:lineRule="auto"/>
                    <w:jc w:val="center"/>
                    <w:rPr>
                      <w:sz w:val="23"/>
                      <w:szCs w:val="23"/>
                    </w:rPr>
                  </w:pPr>
                </w:p>
              </w:tc>
            </w:tr>
            <w:tr w14:paraId="5171F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40" w:hRule="atLeast"/>
              </w:trPr>
              <w:tc>
                <w:tcPr>
                  <w:tcW w:w="3015"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68763CAD">
                  <w:pPr>
                    <w:widowControl w:val="0"/>
                    <w:spacing w:after="0" w:line="240" w:lineRule="auto"/>
                    <w:jc w:val="center"/>
                    <w:rPr>
                      <w:sz w:val="23"/>
                      <w:szCs w:val="23"/>
                    </w:rPr>
                  </w:pPr>
                </w:p>
                <w:p w14:paraId="1B029B28">
                  <w:pPr>
                    <w:widowControl w:val="0"/>
                    <w:spacing w:after="0" w:line="240" w:lineRule="auto"/>
                    <w:jc w:val="center"/>
                  </w:pPr>
                  <w:r>
                    <w:rPr>
                      <w:sz w:val="23"/>
                      <w:szCs w:val="23"/>
                    </w:rPr>
                    <w:t>_________________________</w:t>
                  </w:r>
                </w:p>
              </w:tc>
              <w:tc>
                <w:tcPr>
                  <w:tcW w:w="3447" w:type="dxa"/>
                  <w:tcBorders>
                    <w:top w:val="single" w:color="000000" w:sz="4" w:space="0"/>
                    <w:left w:val="single" w:color="000000" w:sz="4" w:space="0"/>
                    <w:bottom w:val="single" w:color="000000" w:sz="4" w:space="0"/>
                  </w:tcBorders>
                  <w:shd w:val="clear" w:color="auto" w:fill="auto"/>
                  <w:tcMar>
                    <w:left w:w="50" w:type="dxa"/>
                    <w:right w:w="55" w:type="dxa"/>
                  </w:tcMar>
                  <w:vAlign w:val="center"/>
                </w:tcPr>
                <w:p w14:paraId="4E070CFF">
                  <w:pPr>
                    <w:widowControl w:val="0"/>
                    <w:spacing w:after="0" w:line="240" w:lineRule="auto"/>
                    <w:jc w:val="center"/>
                    <w:rPr>
                      <w:sz w:val="23"/>
                      <w:szCs w:val="23"/>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7F8A66B4">
                  <w:pPr>
                    <w:widowControl w:val="0"/>
                    <w:spacing w:after="0" w:line="240" w:lineRule="auto"/>
                    <w:jc w:val="center"/>
                    <w:rPr>
                      <w:sz w:val="23"/>
                      <w:szCs w:val="23"/>
                    </w:rPr>
                  </w:pPr>
                </w:p>
                <w:p w14:paraId="7B92FFF2">
                  <w:pPr>
                    <w:widowControl w:val="0"/>
                    <w:spacing w:after="0" w:line="240" w:lineRule="auto"/>
                    <w:jc w:val="center"/>
                  </w:pPr>
                  <w:r>
                    <w:rPr>
                      <w:sz w:val="23"/>
                      <w:szCs w:val="23"/>
                    </w:rPr>
                    <w:t>_______________________</w:t>
                  </w:r>
                </w:p>
              </w:tc>
            </w:tr>
            <w:tr w14:paraId="308C1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3015"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1B3D6A51">
                  <w:pPr>
                    <w:widowControl w:val="0"/>
                    <w:spacing w:after="0"/>
                    <w:jc w:val="center"/>
                  </w:pPr>
                  <w:r>
                    <w:rPr>
                      <w:b/>
                      <w:sz w:val="23"/>
                      <w:szCs w:val="23"/>
                    </w:rPr>
                    <w:t>Frederico de Castro Alves</w:t>
                  </w:r>
                </w:p>
              </w:tc>
              <w:tc>
                <w:tcPr>
                  <w:tcW w:w="3447" w:type="dxa"/>
                  <w:tcBorders>
                    <w:top w:val="single" w:color="000000" w:sz="4" w:space="0"/>
                    <w:left w:val="single" w:color="000000" w:sz="4" w:space="0"/>
                    <w:bottom w:val="single" w:color="000000" w:sz="4" w:space="0"/>
                  </w:tcBorders>
                  <w:shd w:val="clear" w:color="auto" w:fill="auto"/>
                  <w:tcMar>
                    <w:left w:w="50" w:type="dxa"/>
                    <w:right w:w="55" w:type="dxa"/>
                  </w:tcMar>
                  <w:vAlign w:val="center"/>
                </w:tcPr>
                <w:p w14:paraId="1E2476A7">
                  <w:pPr>
                    <w:widowControl w:val="0"/>
                    <w:pBdr>
                      <w:top w:val="none" w:color="auto" w:sz="0" w:space="0"/>
                      <w:left w:val="none" w:color="auto" w:sz="0" w:space="0"/>
                      <w:bottom w:val="none" w:color="auto" w:sz="0" w:space="0"/>
                      <w:right w:val="none" w:color="auto" w:sz="0" w:space="0"/>
                      <w:between w:val="none" w:color="auto" w:sz="0" w:space="0"/>
                    </w:pBdr>
                    <w:spacing w:after="0" w:line="360" w:lineRule="auto"/>
                    <w:ind w:right="26"/>
                    <w:jc w:val="center"/>
                    <w:rPr>
                      <w:color w:val="000000"/>
                      <w:sz w:val="23"/>
                      <w:szCs w:val="23"/>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77E8943F">
                  <w:pPr>
                    <w:widowControl w:val="0"/>
                    <w:spacing w:after="0"/>
                    <w:jc w:val="center"/>
                  </w:pPr>
                  <w:r>
                    <w:rPr>
                      <w:b/>
                      <w:sz w:val="23"/>
                      <w:szCs w:val="23"/>
                    </w:rPr>
                    <w:t>Alícia Siqueira Emerich</w:t>
                  </w:r>
                </w:p>
              </w:tc>
            </w:tr>
            <w:tr w14:paraId="4F650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3015"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0A14D0C3">
                  <w:pPr>
                    <w:widowControl w:val="0"/>
                    <w:spacing w:after="0"/>
                    <w:jc w:val="center"/>
                  </w:pPr>
                  <w:r>
                    <w:rPr>
                      <w:sz w:val="23"/>
                      <w:szCs w:val="23"/>
                    </w:rPr>
                    <w:t>Matr.: 382.291</w:t>
                  </w:r>
                </w:p>
              </w:tc>
              <w:tc>
                <w:tcPr>
                  <w:tcW w:w="3447" w:type="dxa"/>
                  <w:tcBorders>
                    <w:top w:val="single" w:color="000000" w:sz="4" w:space="0"/>
                    <w:left w:val="single" w:color="000000" w:sz="4" w:space="0"/>
                    <w:bottom w:val="single" w:color="000000" w:sz="4" w:space="0"/>
                  </w:tcBorders>
                  <w:shd w:val="clear" w:color="auto" w:fill="auto"/>
                  <w:tcMar>
                    <w:left w:w="50" w:type="dxa"/>
                    <w:right w:w="55" w:type="dxa"/>
                  </w:tcMar>
                  <w:vAlign w:val="center"/>
                </w:tcPr>
                <w:p w14:paraId="5B999185">
                  <w:pPr>
                    <w:widowControl w:val="0"/>
                    <w:spacing w:after="0"/>
                    <w:jc w:val="center"/>
                    <w:rPr>
                      <w:sz w:val="23"/>
                      <w:szCs w:val="23"/>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2D707C80">
                  <w:pPr>
                    <w:widowControl w:val="0"/>
                    <w:spacing w:after="0"/>
                    <w:jc w:val="center"/>
                  </w:pPr>
                  <w:r>
                    <w:rPr>
                      <w:sz w:val="23"/>
                      <w:szCs w:val="23"/>
                    </w:rPr>
                    <w:t>Mat.: 063.219</w:t>
                  </w:r>
                </w:p>
              </w:tc>
            </w:tr>
            <w:tr w14:paraId="04DD2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3015"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716B9A90">
                  <w:pPr>
                    <w:widowControl w:val="0"/>
                    <w:spacing w:after="0"/>
                    <w:jc w:val="center"/>
                    <w:rPr>
                      <w:sz w:val="23"/>
                      <w:szCs w:val="23"/>
                    </w:rPr>
                  </w:pPr>
                </w:p>
              </w:tc>
              <w:tc>
                <w:tcPr>
                  <w:tcW w:w="3447" w:type="dxa"/>
                  <w:tcBorders>
                    <w:top w:val="single" w:color="000000" w:sz="4" w:space="0"/>
                    <w:left w:val="single" w:color="000000" w:sz="4" w:space="0"/>
                    <w:bottom w:val="single" w:color="000000" w:sz="4" w:space="0"/>
                  </w:tcBorders>
                  <w:shd w:val="clear" w:color="auto" w:fill="auto"/>
                  <w:tcMar>
                    <w:left w:w="50" w:type="dxa"/>
                    <w:right w:w="55" w:type="dxa"/>
                  </w:tcMar>
                  <w:vAlign w:val="center"/>
                </w:tcPr>
                <w:p w14:paraId="48157941">
                  <w:pPr>
                    <w:widowControl w:val="0"/>
                    <w:spacing w:after="0"/>
                    <w:jc w:val="center"/>
                    <w:rPr>
                      <w:sz w:val="23"/>
                      <w:szCs w:val="23"/>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7AD97EAA">
                  <w:pPr>
                    <w:widowControl w:val="0"/>
                    <w:spacing w:after="0"/>
                    <w:jc w:val="center"/>
                    <w:rPr>
                      <w:sz w:val="23"/>
                      <w:szCs w:val="23"/>
                    </w:rPr>
                  </w:pPr>
                </w:p>
              </w:tc>
            </w:tr>
            <w:tr w14:paraId="06EFB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33455C39">
                  <w:pPr>
                    <w:widowControl w:val="0"/>
                    <w:spacing w:after="0"/>
                    <w:jc w:val="center"/>
                    <w:rPr>
                      <w:sz w:val="23"/>
                      <w:szCs w:val="23"/>
                    </w:rPr>
                  </w:pPr>
                  <w:r>
                    <w:rPr>
                      <w:sz w:val="23"/>
                      <w:szCs w:val="23"/>
                    </w:rPr>
                    <w:t>Nova Friburgo, 31 de outubro de 2025</w:t>
                  </w:r>
                </w:p>
              </w:tc>
            </w:tr>
            <w:tr w14:paraId="43D8B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454"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CCCCCC"/>
                  <w:tcMar>
                    <w:left w:w="50" w:type="dxa"/>
                    <w:right w:w="55" w:type="dxa"/>
                  </w:tcMar>
                  <w:vAlign w:val="center"/>
                </w:tcPr>
                <w:p w14:paraId="34E4AD4A">
                  <w:pPr>
                    <w:widowControl w:val="0"/>
                    <w:spacing w:after="0" w:line="240" w:lineRule="auto"/>
                    <w:jc w:val="center"/>
                  </w:pPr>
                  <w:r>
                    <w:rPr>
                      <w:b/>
                      <w:sz w:val="23"/>
                      <w:szCs w:val="23"/>
                    </w:rPr>
                    <w:t>Ciente, de acordo:</w:t>
                  </w:r>
                </w:p>
              </w:tc>
            </w:tr>
            <w:tr w14:paraId="7BA8B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6BCB91E4">
                  <w:pPr>
                    <w:widowControl w:val="0"/>
                    <w:spacing w:after="0" w:line="240" w:lineRule="auto"/>
                    <w:jc w:val="center"/>
                    <w:rPr>
                      <w:sz w:val="23"/>
                      <w:szCs w:val="23"/>
                    </w:rPr>
                  </w:pPr>
                </w:p>
              </w:tc>
            </w:tr>
            <w:tr w14:paraId="59E2E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13164F0A">
                  <w:pPr>
                    <w:widowControl w:val="0"/>
                    <w:spacing w:after="0" w:line="240" w:lineRule="auto"/>
                    <w:jc w:val="center"/>
                  </w:pPr>
                  <w:r>
                    <w:rPr>
                      <w:sz w:val="23"/>
                      <w:szCs w:val="23"/>
                    </w:rPr>
                    <w:t>_________________________________________________</w:t>
                  </w:r>
                </w:p>
              </w:tc>
            </w:tr>
            <w:tr w14:paraId="2B8FA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2"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71718888">
                  <w:pPr>
                    <w:widowControl w:val="0"/>
                    <w:spacing w:after="0"/>
                    <w:jc w:val="center"/>
                  </w:pPr>
                  <w:r>
                    <w:rPr>
                      <w:b/>
                      <w:sz w:val="23"/>
                      <w:szCs w:val="23"/>
                    </w:rPr>
                    <w:t>GABRIEL COSTA WENDERROSCHY</w:t>
                  </w:r>
                </w:p>
              </w:tc>
            </w:tr>
            <w:tr w14:paraId="1BE6E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41EC28D2">
                  <w:pPr>
                    <w:widowControl w:val="0"/>
                    <w:spacing w:after="0" w:line="240" w:lineRule="auto"/>
                    <w:jc w:val="center"/>
                  </w:pPr>
                  <w:r>
                    <w:rPr>
                      <w:sz w:val="23"/>
                      <w:szCs w:val="23"/>
                    </w:rPr>
                    <w:t>Secretário de Saúde</w:t>
                  </w:r>
                </w:p>
              </w:tc>
            </w:tr>
            <w:tr w14:paraId="4BA09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5" w:type="dxa"/>
                  <w:left w:w="108" w:type="dxa"/>
                  <w:bottom w:w="55" w:type="dxa"/>
                  <w:right w:w="108" w:type="dxa"/>
                </w:tblCellMar>
              </w:tblPrEx>
              <w:trPr>
                <w:trHeight w:val="397" w:hRule="atLeast"/>
              </w:trPr>
              <w:tc>
                <w:tcPr>
                  <w:tcW w:w="9810" w:type="dxa"/>
                  <w:gridSpan w:val="3"/>
                  <w:tcBorders>
                    <w:top w:val="single" w:color="000000" w:sz="4" w:space="0"/>
                    <w:left w:val="single" w:color="000000" w:sz="4" w:space="0"/>
                    <w:bottom w:val="single" w:color="000000" w:sz="4" w:space="0"/>
                    <w:right w:val="single" w:color="000000" w:sz="4" w:space="0"/>
                  </w:tcBorders>
                  <w:shd w:val="clear" w:color="auto" w:fill="auto"/>
                  <w:tcMar>
                    <w:left w:w="50" w:type="dxa"/>
                    <w:right w:w="55" w:type="dxa"/>
                  </w:tcMar>
                  <w:vAlign w:val="center"/>
                </w:tcPr>
                <w:p w14:paraId="0378C816">
                  <w:pPr>
                    <w:widowControl w:val="0"/>
                    <w:spacing w:after="0" w:line="240" w:lineRule="auto"/>
                    <w:jc w:val="center"/>
                  </w:pPr>
                  <w:r>
                    <w:rPr>
                      <w:sz w:val="23"/>
                      <w:szCs w:val="23"/>
                    </w:rPr>
                    <w:t>Mat. 063.454</w:t>
                  </w:r>
                </w:p>
              </w:tc>
            </w:tr>
          </w:tbl>
          <w:p w14:paraId="6B992B88">
            <w:pPr>
              <w:widowControl w:val="0"/>
              <w:rPr>
                <w:sz w:val="23"/>
                <w:szCs w:val="23"/>
              </w:rPr>
            </w:pPr>
          </w:p>
        </w:tc>
      </w:tr>
    </w:tbl>
    <w:p w14:paraId="0FA392BC">
      <w:pPr>
        <w:rPr>
          <w:sz w:val="23"/>
          <w:szCs w:val="23"/>
        </w:rPr>
      </w:pPr>
    </w:p>
    <w:sectPr>
      <w:headerReference r:id="rId5" w:type="default"/>
      <w:pgSz w:w="11906" w:h="16838"/>
      <w:pgMar w:top="766" w:right="1134" w:bottom="510" w:left="1701" w:header="284" w:footer="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Leelawadee">
    <w:panose1 w:val="020B0502040204020203"/>
    <w:charset w:val="DE"/>
    <w:family w:val="swiss"/>
    <w:pitch w:val="default"/>
    <w:sig w:usb0="01000001" w:usb1="00000000" w:usb2="00000000" w:usb3="00000000" w:csb0="20010001" w:csb1="00000000"/>
  </w:font>
  <w:font w:name="Consolas">
    <w:panose1 w:val="020B0609020204030204"/>
    <w:charset w:val="00"/>
    <w:family w:val="modern"/>
    <w:pitch w:val="default"/>
    <w:sig w:usb0="E00006FF" w:usb1="0000FCFF" w:usb2="00000001"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3FC62">
    <w:pPr>
      <w:spacing w:after="0"/>
      <w:ind w:left="-993"/>
      <w:rPr>
        <w:rFonts w:ascii="Consolas" w:hAnsi="Consolas" w:eastAsia="Consolas" w:cs="Consolas"/>
        <w:sz w:val="24"/>
        <w:szCs w:val="24"/>
      </w:rPr>
    </w:pPr>
    <w:r>
      <w:drawing>
        <wp:inline distT="0" distB="0" distL="0" distR="0">
          <wp:extent cx="5760085" cy="116014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60085" cy="11601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378A6"/>
    <w:multiLevelType w:val="multilevel"/>
    <w:tmpl w:val="099378A6"/>
    <w:lvl w:ilvl="0" w:tentative="0">
      <w:start w:val="1"/>
      <w:numFmt w:val="decimal"/>
      <w:lvlText w:val=""/>
      <w:lvlJc w:val="left"/>
      <w:pPr>
        <w:ind w:left="0" w:firstLine="0"/>
      </w:pPr>
    </w:lvl>
    <w:lvl w:ilvl="1" w:tentative="0">
      <w:start w:val="1"/>
      <w:numFmt w:val="decimal"/>
      <w:lvlText w:val=""/>
      <w:lvlJc w:val="left"/>
      <w:pPr>
        <w:ind w:left="0" w:firstLine="0"/>
      </w:pPr>
    </w:lvl>
    <w:lvl w:ilvl="2" w:tentative="0">
      <w:start w:val="1"/>
      <w:numFmt w:val="decimal"/>
      <w:lvlText w:val=""/>
      <w:lvlJc w:val="left"/>
      <w:pPr>
        <w:ind w:left="0" w:firstLine="0"/>
      </w:pPr>
    </w:lvl>
    <w:lvl w:ilvl="3" w:tentative="0">
      <w:start w:val="1"/>
      <w:numFmt w:val="decimal"/>
      <w:lvlText w:val=""/>
      <w:lvlJc w:val="left"/>
      <w:pPr>
        <w:ind w:left="0" w:firstLine="0"/>
      </w:pPr>
    </w:lvl>
    <w:lvl w:ilvl="4" w:tentative="0">
      <w:start w:val="1"/>
      <w:numFmt w:val="decimal"/>
      <w:lvlText w:val=""/>
      <w:lvlJc w:val="left"/>
      <w:pPr>
        <w:ind w:left="0" w:firstLine="0"/>
      </w:pPr>
    </w:lvl>
    <w:lvl w:ilvl="5" w:tentative="0">
      <w:start w:val="1"/>
      <w:numFmt w:val="decimal"/>
      <w:lvlText w:val=""/>
      <w:lvlJc w:val="left"/>
      <w:pPr>
        <w:ind w:left="0" w:firstLine="0"/>
      </w:pPr>
    </w:lvl>
    <w:lvl w:ilvl="6" w:tentative="0">
      <w:start w:val="1"/>
      <w:numFmt w:val="decimal"/>
      <w:lvlText w:val=""/>
      <w:lvlJc w:val="left"/>
      <w:pPr>
        <w:ind w:left="0" w:firstLine="0"/>
      </w:pPr>
    </w:lvl>
    <w:lvl w:ilvl="7" w:tentative="0">
      <w:start w:val="1"/>
      <w:numFmt w:val="decimal"/>
      <w:lvlText w:val=""/>
      <w:lvlJc w:val="left"/>
      <w:pPr>
        <w:ind w:left="0" w:firstLine="0"/>
      </w:pPr>
    </w:lvl>
    <w:lvl w:ilvl="8" w:tentative="0">
      <w:start w:val="1"/>
      <w:numFmt w:val="decimal"/>
      <w:lvlText w:val=""/>
      <w:lvlJc w:val="left"/>
      <w:pPr>
        <w:ind w:left="0" w:firstLine="0"/>
      </w:pPr>
    </w:lvl>
  </w:abstractNum>
  <w:abstractNum w:abstractNumId="1">
    <w:nsid w:val="18192646"/>
    <w:multiLevelType w:val="multilevel"/>
    <w:tmpl w:val="1819264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42E46210"/>
    <w:multiLevelType w:val="multilevel"/>
    <w:tmpl w:val="42E46210"/>
    <w:lvl w:ilvl="0" w:tentative="0">
      <w:start w:val="1"/>
      <w:numFmt w:val="decimal"/>
      <w:lvlText w:val="%1."/>
      <w:lvlJc w:val="left"/>
      <w:pPr>
        <w:ind w:left="720" w:hanging="360"/>
      </w:pPr>
    </w:lvl>
    <w:lvl w:ilvl="1" w:tentative="0">
      <w:start w:val="1"/>
      <w:numFmt w:val="decimal"/>
      <w:lvlText w:val="%2."/>
      <w:lvlJc w:val="left"/>
      <w:pPr>
        <w:ind w:left="1080" w:hanging="360"/>
      </w:pPr>
    </w:lvl>
    <w:lvl w:ilvl="2" w:tentative="0">
      <w:start w:val="1"/>
      <w:numFmt w:val="decimal"/>
      <w:lvlText w:val="%3."/>
      <w:lvlJc w:val="left"/>
      <w:pPr>
        <w:ind w:left="1440" w:hanging="360"/>
      </w:pPr>
    </w:lvl>
    <w:lvl w:ilvl="3" w:tentative="0">
      <w:start w:val="1"/>
      <w:numFmt w:val="decimal"/>
      <w:lvlText w:val="%4."/>
      <w:lvlJc w:val="left"/>
      <w:pPr>
        <w:ind w:left="1800" w:hanging="360"/>
      </w:pPr>
    </w:lvl>
    <w:lvl w:ilvl="4" w:tentative="0">
      <w:start w:val="1"/>
      <w:numFmt w:val="decimal"/>
      <w:lvlText w:val="%5."/>
      <w:lvlJc w:val="left"/>
      <w:pPr>
        <w:ind w:left="2160" w:hanging="360"/>
      </w:pPr>
    </w:lvl>
    <w:lvl w:ilvl="5" w:tentative="0">
      <w:start w:val="1"/>
      <w:numFmt w:val="decimal"/>
      <w:lvlText w:val="%6."/>
      <w:lvlJc w:val="left"/>
      <w:pPr>
        <w:ind w:left="2520" w:hanging="360"/>
      </w:pPr>
    </w:lvl>
    <w:lvl w:ilvl="6" w:tentative="0">
      <w:start w:val="1"/>
      <w:numFmt w:val="decimal"/>
      <w:lvlText w:val="%7."/>
      <w:lvlJc w:val="left"/>
      <w:pPr>
        <w:ind w:left="2880" w:hanging="360"/>
      </w:pPr>
    </w:lvl>
    <w:lvl w:ilvl="7" w:tentative="0">
      <w:start w:val="1"/>
      <w:numFmt w:val="decimal"/>
      <w:lvlText w:val="%8."/>
      <w:lvlJc w:val="left"/>
      <w:pPr>
        <w:ind w:left="3240" w:hanging="360"/>
      </w:pPr>
    </w:lvl>
    <w:lvl w:ilvl="8" w:tentative="0">
      <w:start w:val="1"/>
      <w:numFmt w:val="decimal"/>
      <w:lvlText w:val="%9."/>
      <w:lvlJc w:val="left"/>
      <w:pPr>
        <w:ind w:left="360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EC3"/>
    <w:rsid w:val="00037C9A"/>
    <w:rsid w:val="0015500E"/>
    <w:rsid w:val="00162297"/>
    <w:rsid w:val="00455268"/>
    <w:rsid w:val="00462700"/>
    <w:rsid w:val="004D39AA"/>
    <w:rsid w:val="0051046D"/>
    <w:rsid w:val="005D6FFF"/>
    <w:rsid w:val="00AD2EC3"/>
    <w:rsid w:val="00AD757E"/>
    <w:rsid w:val="00C078A0"/>
    <w:rsid w:val="00CF293E"/>
    <w:rsid w:val="00D463A2"/>
    <w:rsid w:val="00DB0510"/>
    <w:rsid w:val="00DB385D"/>
    <w:rsid w:val="00FD6232"/>
    <w:rsid w:val="347A645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Calibri" w:hAnsi="Calibri" w:eastAsia="Calibri" w:cs="Calibri"/>
      <w:sz w:val="22"/>
      <w:szCs w:val="22"/>
      <w:lang w:val="pt-BR" w:eastAsia="pt-BR"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tabs>
        <w:tab w:val="left" w:pos="0"/>
      </w:tabs>
      <w:spacing w:after="0" w:line="240" w:lineRule="auto"/>
      <w:ind w:left="576" w:hanging="576"/>
      <w:outlineLvl w:val="1"/>
    </w:pPr>
    <w:rPr>
      <w:rFonts w:ascii="Arial" w:hAnsi="Arial" w:eastAsia="Arial" w:cs="Arial"/>
      <w:b/>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themeColor="hyperlink"/>
      <w:u w:val="single"/>
      <w14:textFill>
        <w14:solidFill>
          <w14:schemeClr w14:val="hlink"/>
        </w14:solidFill>
      </w14:textFill>
    </w:rPr>
  </w:style>
  <w:style w:type="paragraph" w:styleId="11">
    <w:name w:val="Title"/>
    <w:basedOn w:val="1"/>
    <w:next w:val="1"/>
    <w:qFormat/>
    <w:uiPriority w:val="10"/>
    <w:pPr>
      <w:keepNext/>
      <w:keepLines/>
      <w:spacing w:before="480" w:after="120"/>
    </w:pPr>
    <w:rPr>
      <w:b/>
      <w:sz w:val="72"/>
      <w:szCs w:val="72"/>
    </w:rPr>
  </w:style>
  <w:style w:type="paragraph" w:styleId="12">
    <w:name w:val="header"/>
    <w:basedOn w:val="1"/>
    <w:link w:val="37"/>
    <w:unhideWhenUsed/>
    <w:uiPriority w:val="99"/>
    <w:pPr>
      <w:tabs>
        <w:tab w:val="center" w:pos="4252"/>
        <w:tab w:val="right" w:pos="8504"/>
      </w:tabs>
      <w:spacing w:after="0" w:line="240" w:lineRule="auto"/>
    </w:pPr>
  </w:style>
  <w:style w:type="paragraph" w:styleId="13">
    <w:name w:val="footer"/>
    <w:basedOn w:val="1"/>
    <w:link w:val="38"/>
    <w:unhideWhenUsed/>
    <w:uiPriority w:val="99"/>
    <w:pPr>
      <w:tabs>
        <w:tab w:val="center" w:pos="4252"/>
        <w:tab w:val="right" w:pos="8504"/>
      </w:tabs>
      <w:spacing w:after="0" w:line="240" w:lineRule="auto"/>
    </w:pPr>
  </w:style>
  <w:style w:type="paragraph" w:styleId="14">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customStyle="1" w:styleId="15">
    <w:name w:val="TableNormal"/>
    <w:uiPriority w:val="0"/>
    <w:tblPr>
      <w:tblCellMar>
        <w:top w:w="100" w:type="dxa"/>
        <w:left w:w="100" w:type="dxa"/>
        <w:bottom w:w="100" w:type="dxa"/>
        <w:right w:w="100" w:type="dxa"/>
      </w:tblCellMar>
    </w:tblPr>
  </w:style>
  <w:style w:type="table" w:customStyle="1" w:styleId="16">
    <w:name w:val="_Style 12"/>
    <w:basedOn w:val="15"/>
    <w:uiPriority w:val="0"/>
    <w:tblPr>
      <w:tblCellMar>
        <w:top w:w="0" w:type="dxa"/>
        <w:left w:w="108" w:type="dxa"/>
        <w:bottom w:w="0" w:type="dxa"/>
        <w:right w:w="108" w:type="dxa"/>
      </w:tblCellMar>
    </w:tblPr>
  </w:style>
  <w:style w:type="table" w:customStyle="1" w:styleId="17">
    <w:name w:val="_Style 13"/>
    <w:basedOn w:val="15"/>
    <w:uiPriority w:val="0"/>
    <w:tblPr>
      <w:tblCellMar>
        <w:top w:w="0" w:type="dxa"/>
        <w:left w:w="108" w:type="dxa"/>
        <w:bottom w:w="0" w:type="dxa"/>
        <w:right w:w="108" w:type="dxa"/>
      </w:tblCellMar>
    </w:tblPr>
  </w:style>
  <w:style w:type="table" w:customStyle="1" w:styleId="18">
    <w:name w:val="_Style 14"/>
    <w:basedOn w:val="15"/>
    <w:qFormat/>
    <w:uiPriority w:val="0"/>
    <w:tblPr>
      <w:tblCellMar>
        <w:top w:w="0" w:type="dxa"/>
        <w:left w:w="108" w:type="dxa"/>
        <w:bottom w:w="0" w:type="dxa"/>
        <w:right w:w="108" w:type="dxa"/>
      </w:tblCellMar>
    </w:tblPr>
  </w:style>
  <w:style w:type="table" w:customStyle="1" w:styleId="19">
    <w:name w:val="_Style 15"/>
    <w:basedOn w:val="15"/>
    <w:uiPriority w:val="0"/>
    <w:tblPr>
      <w:tblCellMar>
        <w:top w:w="0" w:type="dxa"/>
        <w:left w:w="108" w:type="dxa"/>
        <w:bottom w:w="0" w:type="dxa"/>
        <w:right w:w="108" w:type="dxa"/>
      </w:tblCellMar>
    </w:tblPr>
  </w:style>
  <w:style w:type="table" w:customStyle="1" w:styleId="20">
    <w:name w:val="_Style 16"/>
    <w:basedOn w:val="15"/>
    <w:uiPriority w:val="0"/>
    <w:tblPr>
      <w:tblCellMar>
        <w:top w:w="55" w:type="dxa"/>
        <w:left w:w="50" w:type="dxa"/>
        <w:bottom w:w="55" w:type="dxa"/>
        <w:right w:w="55" w:type="dxa"/>
      </w:tblCellMar>
    </w:tblPr>
  </w:style>
  <w:style w:type="table" w:customStyle="1" w:styleId="21">
    <w:name w:val="_Style 17"/>
    <w:basedOn w:val="15"/>
    <w:qFormat/>
    <w:uiPriority w:val="0"/>
  </w:style>
  <w:style w:type="table" w:customStyle="1" w:styleId="22">
    <w:name w:val="_Style 18"/>
    <w:basedOn w:val="15"/>
    <w:qFormat/>
    <w:uiPriority w:val="0"/>
  </w:style>
  <w:style w:type="table" w:customStyle="1" w:styleId="23">
    <w:name w:val="_Style 19"/>
    <w:basedOn w:val="15"/>
    <w:qFormat/>
    <w:uiPriority w:val="0"/>
    <w:tblPr>
      <w:tblCellMar>
        <w:top w:w="0" w:type="dxa"/>
        <w:left w:w="108" w:type="dxa"/>
        <w:bottom w:w="0" w:type="dxa"/>
        <w:right w:w="108" w:type="dxa"/>
      </w:tblCellMar>
    </w:tblPr>
  </w:style>
  <w:style w:type="table" w:customStyle="1" w:styleId="24">
    <w:name w:val="_Style 20"/>
    <w:basedOn w:val="15"/>
    <w:qFormat/>
    <w:uiPriority w:val="0"/>
    <w:tblPr>
      <w:tblCellMar>
        <w:top w:w="0" w:type="dxa"/>
        <w:left w:w="108" w:type="dxa"/>
        <w:bottom w:w="0" w:type="dxa"/>
        <w:right w:w="108" w:type="dxa"/>
      </w:tblCellMar>
    </w:tblPr>
  </w:style>
  <w:style w:type="table" w:customStyle="1" w:styleId="25">
    <w:name w:val="_Style 21"/>
    <w:basedOn w:val="15"/>
    <w:qFormat/>
    <w:uiPriority w:val="0"/>
    <w:tblPr>
      <w:tblCellMar>
        <w:top w:w="55" w:type="dxa"/>
        <w:left w:w="50" w:type="dxa"/>
        <w:bottom w:w="55" w:type="dxa"/>
        <w:right w:w="55" w:type="dxa"/>
      </w:tblCellMar>
    </w:tblPr>
  </w:style>
  <w:style w:type="table" w:customStyle="1" w:styleId="26">
    <w:name w:val="_Style 22"/>
    <w:basedOn w:val="15"/>
    <w:uiPriority w:val="0"/>
    <w:tblPr>
      <w:tblCellMar>
        <w:top w:w="0" w:type="dxa"/>
        <w:left w:w="108" w:type="dxa"/>
        <w:bottom w:w="0" w:type="dxa"/>
        <w:right w:w="108" w:type="dxa"/>
      </w:tblCellMar>
    </w:tblPr>
  </w:style>
  <w:style w:type="table" w:customStyle="1" w:styleId="27">
    <w:name w:val="_Style 23"/>
    <w:basedOn w:val="15"/>
    <w:qFormat/>
    <w:uiPriority w:val="0"/>
    <w:tblPr>
      <w:tblCellMar>
        <w:top w:w="0" w:type="dxa"/>
        <w:left w:w="108" w:type="dxa"/>
        <w:bottom w:w="0" w:type="dxa"/>
        <w:right w:w="108" w:type="dxa"/>
      </w:tblCellMar>
    </w:tblPr>
  </w:style>
  <w:style w:type="table" w:customStyle="1" w:styleId="28">
    <w:name w:val="_Style 24"/>
    <w:basedOn w:val="15"/>
    <w:qFormat/>
    <w:uiPriority w:val="0"/>
    <w:tblPr>
      <w:tblCellMar>
        <w:top w:w="0" w:type="dxa"/>
        <w:left w:w="108" w:type="dxa"/>
        <w:bottom w:w="0" w:type="dxa"/>
        <w:right w:w="108" w:type="dxa"/>
      </w:tblCellMar>
    </w:tblPr>
  </w:style>
  <w:style w:type="table" w:customStyle="1" w:styleId="29">
    <w:name w:val="_Style 25"/>
    <w:basedOn w:val="15"/>
    <w:qFormat/>
    <w:uiPriority w:val="0"/>
    <w:tblPr>
      <w:tblCellMar>
        <w:top w:w="0" w:type="dxa"/>
        <w:left w:w="108" w:type="dxa"/>
        <w:bottom w:w="0" w:type="dxa"/>
        <w:right w:w="108" w:type="dxa"/>
      </w:tblCellMar>
    </w:tblPr>
  </w:style>
  <w:style w:type="table" w:customStyle="1" w:styleId="30">
    <w:name w:val="_Style 26"/>
    <w:basedOn w:val="15"/>
    <w:qFormat/>
    <w:uiPriority w:val="0"/>
    <w:tblPr>
      <w:tblCellMar>
        <w:top w:w="0" w:type="dxa"/>
        <w:left w:w="108" w:type="dxa"/>
        <w:bottom w:w="0" w:type="dxa"/>
        <w:right w:w="108" w:type="dxa"/>
      </w:tblCellMar>
    </w:tblPr>
  </w:style>
  <w:style w:type="table" w:customStyle="1" w:styleId="31">
    <w:name w:val="_Style 27"/>
    <w:basedOn w:val="15"/>
    <w:qFormat/>
    <w:uiPriority w:val="0"/>
    <w:tblPr>
      <w:tblCellMar>
        <w:top w:w="0" w:type="dxa"/>
        <w:left w:w="108" w:type="dxa"/>
        <w:bottom w:w="0" w:type="dxa"/>
        <w:right w:w="108" w:type="dxa"/>
      </w:tblCellMar>
    </w:tblPr>
  </w:style>
  <w:style w:type="table" w:customStyle="1" w:styleId="32">
    <w:name w:val="_Style 28"/>
    <w:basedOn w:val="15"/>
    <w:uiPriority w:val="0"/>
    <w:tblPr>
      <w:tblCellMar>
        <w:top w:w="0" w:type="dxa"/>
        <w:left w:w="108" w:type="dxa"/>
        <w:bottom w:w="0" w:type="dxa"/>
        <w:right w:w="108" w:type="dxa"/>
      </w:tblCellMar>
    </w:tblPr>
  </w:style>
  <w:style w:type="table" w:customStyle="1" w:styleId="33">
    <w:name w:val="_Style 29"/>
    <w:basedOn w:val="15"/>
    <w:qFormat/>
    <w:uiPriority w:val="0"/>
    <w:tblPr>
      <w:tblCellMar>
        <w:top w:w="0" w:type="dxa"/>
        <w:left w:w="108" w:type="dxa"/>
        <w:bottom w:w="0" w:type="dxa"/>
        <w:right w:w="108" w:type="dxa"/>
      </w:tblCellMar>
    </w:tblPr>
  </w:style>
  <w:style w:type="table" w:customStyle="1" w:styleId="34">
    <w:name w:val="_Style 30"/>
    <w:basedOn w:val="15"/>
    <w:qFormat/>
    <w:uiPriority w:val="0"/>
    <w:tblPr>
      <w:tblCellMar>
        <w:top w:w="55" w:type="dxa"/>
        <w:left w:w="108" w:type="dxa"/>
        <w:bottom w:w="55" w:type="dxa"/>
        <w:right w:w="108" w:type="dxa"/>
      </w:tblCellMar>
    </w:tblPr>
  </w:style>
  <w:style w:type="character" w:customStyle="1" w:styleId="35">
    <w:name w:val="font-[600]"/>
    <w:basedOn w:val="8"/>
    <w:qFormat/>
    <w:uiPriority w:val="0"/>
  </w:style>
  <w:style w:type="character" w:customStyle="1" w:styleId="36">
    <w:name w:val="Unresolved Mention"/>
    <w:basedOn w:val="8"/>
    <w:semiHidden/>
    <w:unhideWhenUsed/>
    <w:uiPriority w:val="99"/>
    <w:rPr>
      <w:color w:val="605E5C"/>
      <w:shd w:val="clear" w:color="auto" w:fill="E1DFDD"/>
    </w:rPr>
  </w:style>
  <w:style w:type="character" w:customStyle="1" w:styleId="37">
    <w:name w:val="Cabeçalho Char"/>
    <w:basedOn w:val="8"/>
    <w:link w:val="12"/>
    <w:uiPriority w:val="99"/>
  </w:style>
  <w:style w:type="character" w:customStyle="1" w:styleId="38">
    <w:name w:val="Rodapé Char"/>
    <w:basedOn w:val="8"/>
    <w:link w:val="13"/>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21</Pages>
  <Words>7519</Words>
  <Characters>40605</Characters>
  <Lines>338</Lines>
  <Paragraphs>96</Paragraphs>
  <TotalTime>237</TotalTime>
  <ScaleCrop>false</ScaleCrop>
  <LinksUpToDate>false</LinksUpToDate>
  <CharactersWithSpaces>48028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2025-10-13T17:07:00Z</dcterms:created>
  <dc:creator>eveline.fonseca</dc:creator>
  <cp:lastModifiedBy>eveline.fonseca</cp:lastModifiedBy>
  <dcterms:modified xsi:type="dcterms:W3CDTF">2026-02-24T13:05:38Z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HyperlinksChanged">
    <vt:lpwstr>false</vt:lpwstr>
  </property>
  <property fmtid="{D5CDD505-2E9C-101B-9397-08002B2CF9AE}" pid="4" name="KSOProductBuildVer">
    <vt:lpwstr>1046-12.2.0.23196</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ICV">
    <vt:lpwstr>B7FE0139750F46879562185734A6AFFC_12</vt:lpwstr>
  </property>
</Properties>
</file>